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C5C4" w14:textId="77777777" w:rsidR="00CB617F" w:rsidRPr="00823731" w:rsidRDefault="00CB617F" w:rsidP="00CB617F">
      <w:pPr>
        <w:spacing w:after="0" w:line="240" w:lineRule="auto"/>
        <w:jc w:val="center"/>
        <w:rPr>
          <w:rFonts w:eastAsia="Times New Roman" w:cstheme="minorHAnsi"/>
          <w:b/>
          <w:color w:val="FF0000"/>
          <w:sz w:val="48"/>
          <w:szCs w:val="48"/>
          <w:lang w:val="en-GB" w:eastAsia="fr-FR"/>
        </w:rPr>
      </w:pPr>
      <w:r w:rsidRPr="00823731">
        <w:rPr>
          <w:rFonts w:eastAsia="Times New Roman" w:cstheme="minorHAnsi"/>
          <w:b/>
          <w:color w:val="FF0000"/>
          <w:sz w:val="48"/>
          <w:szCs w:val="48"/>
          <w:lang w:val="en-GB" w:eastAsia="fr-FR"/>
        </w:rPr>
        <w:t xml:space="preserve">GFII Contribution on the proposal for </w:t>
      </w:r>
    </w:p>
    <w:p w14:paraId="0263D3B6" w14:textId="77777777" w:rsidR="00CB617F" w:rsidRPr="00823731" w:rsidRDefault="00CB617F" w:rsidP="00CB617F">
      <w:pPr>
        <w:spacing w:after="0" w:line="240" w:lineRule="auto"/>
        <w:jc w:val="center"/>
        <w:rPr>
          <w:rFonts w:eastAsia="Times New Roman" w:cstheme="minorHAnsi"/>
          <w:b/>
          <w:color w:val="FF0000"/>
          <w:sz w:val="48"/>
          <w:szCs w:val="48"/>
          <w:lang w:val="en-GB" w:eastAsia="fr-FR"/>
        </w:rPr>
      </w:pPr>
      <w:r w:rsidRPr="00823731">
        <w:rPr>
          <w:rFonts w:eastAsia="Times New Roman" w:cstheme="minorHAnsi"/>
          <w:b/>
          <w:color w:val="FF0000"/>
          <w:sz w:val="48"/>
          <w:szCs w:val="48"/>
          <w:lang w:val="en-GB" w:eastAsia="fr-FR"/>
        </w:rPr>
        <w:t>a Data Governance Act (01/02/2021)</w:t>
      </w:r>
    </w:p>
    <w:p w14:paraId="4ABDA8FC" w14:textId="77777777" w:rsidR="00CB617F" w:rsidRDefault="00CB617F" w:rsidP="00CB617F">
      <w:pPr>
        <w:spacing w:before="100" w:beforeAutospacing="1" w:after="100" w:afterAutospacing="1" w:line="240" w:lineRule="auto"/>
        <w:jc w:val="center"/>
        <w:rPr>
          <w:rFonts w:eastAsia="Times New Roman" w:cstheme="minorHAnsi"/>
          <w:b/>
          <w:bCs/>
          <w:sz w:val="24"/>
          <w:szCs w:val="24"/>
          <w:lang w:val="en-GB" w:eastAsia="fr-FR"/>
        </w:rPr>
      </w:pPr>
      <w:r>
        <w:rPr>
          <w:rFonts w:eastAsia="Times New Roman" w:cstheme="minorHAnsi"/>
          <w:b/>
          <w:bCs/>
          <w:noProof/>
          <w:sz w:val="24"/>
          <w:szCs w:val="24"/>
          <w:lang w:val="en-GB" w:eastAsia="fr-FR"/>
        </w:rPr>
        <w:drawing>
          <wp:inline distT="0" distB="0" distL="0" distR="0" wp14:anchorId="3978CCCC" wp14:editId="6A558792">
            <wp:extent cx="1619250" cy="1247775"/>
            <wp:effectExtent l="0" t="0" r="0" b="9525"/>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FII.jpg"/>
                    <pic:cNvPicPr/>
                  </pic:nvPicPr>
                  <pic:blipFill>
                    <a:blip r:embed="rId7">
                      <a:extLst>
                        <a:ext uri="{28A0092B-C50C-407E-A947-70E740481C1C}">
                          <a14:useLocalDpi xmlns:a14="http://schemas.microsoft.com/office/drawing/2010/main" val="0"/>
                        </a:ext>
                      </a:extLst>
                    </a:blip>
                    <a:stretch>
                      <a:fillRect/>
                    </a:stretch>
                  </pic:blipFill>
                  <pic:spPr>
                    <a:xfrm>
                      <a:off x="0" y="0"/>
                      <a:ext cx="1619250" cy="1247775"/>
                    </a:xfrm>
                    <a:prstGeom prst="rect">
                      <a:avLst/>
                    </a:prstGeom>
                  </pic:spPr>
                </pic:pic>
              </a:graphicData>
            </a:graphic>
          </wp:inline>
        </w:drawing>
      </w:r>
    </w:p>
    <w:p w14:paraId="4BA5B56D" w14:textId="20CC8775" w:rsidR="007D0F59" w:rsidRDefault="007D0F59" w:rsidP="007D0F59">
      <w:pPr>
        <w:spacing w:after="0" w:line="240" w:lineRule="auto"/>
        <w:ind w:left="360"/>
        <w:jc w:val="both"/>
        <w:rPr>
          <w:rFonts w:eastAsia="Times New Roman" w:cstheme="minorHAnsi"/>
          <w:sz w:val="36"/>
          <w:szCs w:val="36"/>
          <w:lang w:val="en-GB" w:eastAsia="fr-FR"/>
        </w:rPr>
      </w:pPr>
    </w:p>
    <w:p w14:paraId="617561F4" w14:textId="6F3BAE4C" w:rsidR="007D0F59" w:rsidRDefault="007D0F59" w:rsidP="007D0F59">
      <w:pPr>
        <w:spacing w:after="0" w:line="240" w:lineRule="auto"/>
        <w:ind w:left="360"/>
        <w:jc w:val="both"/>
        <w:rPr>
          <w:rFonts w:eastAsia="Times New Roman" w:cstheme="minorHAnsi"/>
          <w:sz w:val="36"/>
          <w:szCs w:val="36"/>
          <w:lang w:val="en-GB" w:eastAsia="fr-FR"/>
        </w:rPr>
      </w:pPr>
    </w:p>
    <w:p w14:paraId="5F9A7F96" w14:textId="77777777" w:rsidR="007D0F59" w:rsidRPr="007D0F59" w:rsidRDefault="007D0F59" w:rsidP="007D0F59">
      <w:pPr>
        <w:spacing w:after="0" w:line="240" w:lineRule="auto"/>
        <w:ind w:left="360"/>
        <w:jc w:val="both"/>
        <w:rPr>
          <w:rFonts w:eastAsia="Times New Roman" w:cstheme="minorHAnsi"/>
          <w:sz w:val="36"/>
          <w:szCs w:val="36"/>
          <w:lang w:val="en-GB" w:eastAsia="fr-FR"/>
        </w:rPr>
      </w:pPr>
    </w:p>
    <w:p w14:paraId="5C4239E6" w14:textId="7B621E5F" w:rsidR="00FF56B0" w:rsidRPr="00FF56B0" w:rsidRDefault="00CB617F" w:rsidP="00FF56B0">
      <w:pPr>
        <w:pStyle w:val="Paragraphedeliste"/>
        <w:numPr>
          <w:ilvl w:val="0"/>
          <w:numId w:val="1"/>
        </w:numPr>
        <w:spacing w:after="0" w:line="240" w:lineRule="auto"/>
        <w:jc w:val="both"/>
        <w:rPr>
          <w:rFonts w:eastAsia="Times New Roman" w:cstheme="minorHAnsi"/>
          <w:sz w:val="32"/>
          <w:szCs w:val="32"/>
          <w:lang w:val="en-GB" w:eastAsia="fr-FR"/>
        </w:rPr>
      </w:pPr>
      <w:r w:rsidRPr="007D0F59">
        <w:rPr>
          <w:rFonts w:eastAsia="Times New Roman" w:cstheme="minorHAnsi"/>
          <w:sz w:val="32"/>
          <w:szCs w:val="32"/>
          <w:lang w:val="en-GB" w:eastAsia="fr-FR"/>
        </w:rPr>
        <w:t xml:space="preserve">Making “protected data” available for reuse should be </w:t>
      </w:r>
      <w:r w:rsidR="00FF56B0" w:rsidRPr="007D0F59">
        <w:rPr>
          <w:rFonts w:eastAsia="Times New Roman" w:cstheme="minorHAnsi"/>
          <w:sz w:val="32"/>
          <w:szCs w:val="32"/>
          <w:lang w:val="en-GB" w:eastAsia="fr-FR"/>
        </w:rPr>
        <w:t>mandatory,</w:t>
      </w:r>
      <w:r w:rsidR="00FF56B0" w:rsidRPr="00FF56B0">
        <w:rPr>
          <w:rFonts w:eastAsia="Times New Roman" w:cstheme="minorHAnsi"/>
          <w:sz w:val="32"/>
          <w:szCs w:val="32"/>
          <w:lang w:val="en-GB" w:eastAsia="fr-FR"/>
        </w:rPr>
        <w:t xml:space="preserve"> in compliance with DGA requirements </w:t>
      </w:r>
    </w:p>
    <w:p w14:paraId="17B3FB54" w14:textId="77777777" w:rsidR="007D0F59" w:rsidRPr="007D0F59" w:rsidRDefault="007D0F59" w:rsidP="00CB617F">
      <w:pPr>
        <w:spacing w:after="0" w:line="240" w:lineRule="auto"/>
        <w:ind w:left="360"/>
        <w:jc w:val="both"/>
        <w:rPr>
          <w:rFonts w:eastAsia="Times New Roman" w:cstheme="minorHAnsi"/>
          <w:sz w:val="32"/>
          <w:szCs w:val="32"/>
          <w:lang w:val="en-GB" w:eastAsia="fr-FR"/>
        </w:rPr>
      </w:pPr>
    </w:p>
    <w:p w14:paraId="6375AD93" w14:textId="74174C7B" w:rsidR="00CB617F" w:rsidRPr="007D0F59" w:rsidRDefault="001276A3" w:rsidP="00CB617F">
      <w:pPr>
        <w:pStyle w:val="Paragraphedeliste"/>
        <w:numPr>
          <w:ilvl w:val="0"/>
          <w:numId w:val="1"/>
        </w:numPr>
        <w:spacing w:after="0" w:line="240" w:lineRule="auto"/>
        <w:jc w:val="both"/>
        <w:rPr>
          <w:rFonts w:eastAsia="Times New Roman" w:cstheme="minorHAnsi"/>
          <w:sz w:val="32"/>
          <w:szCs w:val="32"/>
          <w:lang w:val="en-GB" w:eastAsia="fr-FR"/>
        </w:rPr>
      </w:pPr>
      <w:r>
        <w:rPr>
          <w:rFonts w:eastAsia="Times New Roman" w:cstheme="minorHAnsi"/>
          <w:sz w:val="32"/>
          <w:szCs w:val="32"/>
          <w:lang w:val="en-GB" w:eastAsia="fr-FR"/>
        </w:rPr>
        <w:t>T</w:t>
      </w:r>
      <w:r w:rsidR="00CB617F" w:rsidRPr="007D0F59">
        <w:rPr>
          <w:rFonts w:eastAsia="Times New Roman" w:cstheme="minorHAnsi"/>
          <w:sz w:val="32"/>
          <w:szCs w:val="32"/>
          <w:lang w:val="en-GB" w:eastAsia="fr-FR"/>
        </w:rPr>
        <w:t xml:space="preserve">he possibility to have different anonymization levels according to the </w:t>
      </w:r>
      <w:proofErr w:type="gramStart"/>
      <w:r w:rsidR="00CB617F" w:rsidRPr="007D0F59">
        <w:rPr>
          <w:rFonts w:eastAsia="Times New Roman" w:cstheme="minorHAnsi"/>
          <w:sz w:val="32"/>
          <w:szCs w:val="32"/>
          <w:lang w:val="en-GB" w:eastAsia="fr-FR"/>
        </w:rPr>
        <w:t>end-users’</w:t>
      </w:r>
      <w:proofErr w:type="gramEnd"/>
      <w:r w:rsidR="00CB617F" w:rsidRPr="007D0F59">
        <w:rPr>
          <w:rFonts w:eastAsia="Times New Roman" w:cstheme="minorHAnsi"/>
          <w:sz w:val="32"/>
          <w:szCs w:val="32"/>
          <w:lang w:val="en-GB" w:eastAsia="fr-FR"/>
        </w:rPr>
        <w:t xml:space="preserve"> categories of the </w:t>
      </w:r>
      <w:proofErr w:type="spellStart"/>
      <w:r w:rsidR="00CB617F" w:rsidRPr="007D0F59">
        <w:rPr>
          <w:rFonts w:eastAsia="Times New Roman" w:cstheme="minorHAnsi"/>
          <w:sz w:val="32"/>
          <w:szCs w:val="32"/>
          <w:lang w:val="en-GB" w:eastAsia="fr-FR"/>
        </w:rPr>
        <w:t>reuser</w:t>
      </w:r>
      <w:proofErr w:type="spellEnd"/>
      <w:r w:rsidR="00CB617F" w:rsidRPr="007D0F59">
        <w:rPr>
          <w:rFonts w:eastAsia="Times New Roman" w:cstheme="minorHAnsi"/>
          <w:sz w:val="32"/>
          <w:szCs w:val="32"/>
          <w:lang w:val="en-GB" w:eastAsia="fr-FR"/>
        </w:rPr>
        <w:t xml:space="preserve"> and the purpose of reuse</w:t>
      </w:r>
      <w:r>
        <w:rPr>
          <w:rFonts w:eastAsia="Times New Roman" w:cstheme="minorHAnsi"/>
          <w:sz w:val="32"/>
          <w:szCs w:val="32"/>
          <w:lang w:val="en-GB" w:eastAsia="fr-FR"/>
        </w:rPr>
        <w:t xml:space="preserve"> should be considered</w:t>
      </w:r>
    </w:p>
    <w:p w14:paraId="3490C88E" w14:textId="6216ED97" w:rsidR="00CB617F" w:rsidRPr="007D0F59" w:rsidRDefault="00CB617F" w:rsidP="00CB617F">
      <w:pPr>
        <w:spacing w:after="0" w:line="240" w:lineRule="auto"/>
        <w:ind w:left="360"/>
        <w:jc w:val="both"/>
        <w:rPr>
          <w:rFonts w:eastAsia="Times New Roman" w:cstheme="minorHAnsi"/>
          <w:sz w:val="32"/>
          <w:szCs w:val="32"/>
          <w:lang w:val="en-GB" w:eastAsia="fr-FR"/>
        </w:rPr>
      </w:pPr>
    </w:p>
    <w:p w14:paraId="24A59CB0" w14:textId="77777777" w:rsidR="007D0F59" w:rsidRPr="007D0F59" w:rsidRDefault="007D0F59" w:rsidP="00CB617F">
      <w:pPr>
        <w:spacing w:after="0" w:line="240" w:lineRule="auto"/>
        <w:ind w:left="360"/>
        <w:jc w:val="both"/>
        <w:rPr>
          <w:rFonts w:eastAsia="Times New Roman" w:cstheme="minorHAnsi"/>
          <w:sz w:val="32"/>
          <w:szCs w:val="32"/>
          <w:lang w:val="en-GB" w:eastAsia="fr-FR"/>
        </w:rPr>
      </w:pPr>
    </w:p>
    <w:p w14:paraId="316AB57F" w14:textId="79A24AA7" w:rsidR="00CB617F" w:rsidRPr="00823731" w:rsidRDefault="00CB617F" w:rsidP="00CB617F">
      <w:pPr>
        <w:pStyle w:val="Paragraphedeliste"/>
        <w:numPr>
          <w:ilvl w:val="0"/>
          <w:numId w:val="1"/>
        </w:numPr>
        <w:spacing w:after="0" w:line="240" w:lineRule="auto"/>
        <w:jc w:val="both"/>
        <w:rPr>
          <w:rFonts w:eastAsia="Times New Roman" w:cstheme="minorHAnsi"/>
          <w:sz w:val="32"/>
          <w:szCs w:val="32"/>
          <w:lang w:val="en-GB" w:eastAsia="fr-FR"/>
        </w:rPr>
      </w:pPr>
      <w:proofErr w:type="spellStart"/>
      <w:r w:rsidRPr="00823731">
        <w:rPr>
          <w:rFonts w:eastAsia="Times New Roman" w:cstheme="minorHAnsi"/>
          <w:sz w:val="32"/>
          <w:szCs w:val="32"/>
          <w:lang w:val="en-GB" w:eastAsia="fr-FR"/>
        </w:rPr>
        <w:t>BtoB</w:t>
      </w:r>
      <w:proofErr w:type="spellEnd"/>
      <w:r w:rsidRPr="00823731">
        <w:rPr>
          <w:rFonts w:eastAsia="Times New Roman" w:cstheme="minorHAnsi"/>
          <w:sz w:val="32"/>
          <w:szCs w:val="32"/>
          <w:lang w:val="en-GB" w:eastAsia="fr-FR"/>
        </w:rPr>
        <w:t xml:space="preserve"> </w:t>
      </w:r>
      <w:proofErr w:type="spellStart"/>
      <w:r w:rsidRPr="00823731">
        <w:rPr>
          <w:rFonts w:eastAsia="Times New Roman" w:cstheme="minorHAnsi"/>
          <w:sz w:val="32"/>
          <w:szCs w:val="32"/>
          <w:lang w:val="en-GB" w:eastAsia="fr-FR"/>
        </w:rPr>
        <w:t>datasharing</w:t>
      </w:r>
      <w:proofErr w:type="spellEnd"/>
      <w:r w:rsidRPr="00823731">
        <w:rPr>
          <w:rFonts w:eastAsia="Times New Roman" w:cstheme="minorHAnsi"/>
          <w:sz w:val="32"/>
          <w:szCs w:val="32"/>
          <w:lang w:val="en-GB" w:eastAsia="fr-FR"/>
        </w:rPr>
        <w:t xml:space="preserve"> requires more than interoperability; it requires to improve all characteristics of holder'</w:t>
      </w:r>
      <w:r w:rsidRPr="007D0F59">
        <w:rPr>
          <w:rFonts w:eastAsia="Times New Roman" w:cstheme="minorHAnsi"/>
          <w:sz w:val="32"/>
          <w:szCs w:val="32"/>
          <w:lang w:val="en-GB" w:eastAsia="fr-FR"/>
        </w:rPr>
        <w:t xml:space="preserve">s </w:t>
      </w:r>
      <w:r w:rsidRPr="00823731">
        <w:rPr>
          <w:rFonts w:eastAsia="Times New Roman" w:cstheme="minorHAnsi"/>
          <w:sz w:val="32"/>
          <w:szCs w:val="32"/>
          <w:lang w:val="en-GB" w:eastAsia="fr-FR"/>
        </w:rPr>
        <w:t xml:space="preserve">data (format, completion, </w:t>
      </w:r>
      <w:r w:rsidRPr="007D0F59">
        <w:rPr>
          <w:rFonts w:eastAsia="Times New Roman" w:cstheme="minorHAnsi"/>
          <w:sz w:val="32"/>
          <w:szCs w:val="32"/>
          <w:lang w:val="en-GB" w:eastAsia="fr-FR"/>
        </w:rPr>
        <w:t xml:space="preserve">update frequencies, </w:t>
      </w:r>
      <w:proofErr w:type="gramStart"/>
      <w:r w:rsidRPr="00823731">
        <w:rPr>
          <w:rFonts w:eastAsia="Times New Roman" w:cstheme="minorHAnsi"/>
          <w:sz w:val="32"/>
          <w:szCs w:val="32"/>
          <w:lang w:val="en-GB" w:eastAsia="fr-FR"/>
        </w:rPr>
        <w:t>do</w:t>
      </w:r>
      <w:r w:rsidRPr="007D0F59">
        <w:rPr>
          <w:rFonts w:eastAsia="Times New Roman" w:cstheme="minorHAnsi"/>
          <w:sz w:val="32"/>
          <w:szCs w:val="32"/>
          <w:lang w:val="en-GB" w:eastAsia="fr-FR"/>
        </w:rPr>
        <w:t>c</w:t>
      </w:r>
      <w:r w:rsidRPr="00823731">
        <w:rPr>
          <w:rFonts w:eastAsia="Times New Roman" w:cstheme="minorHAnsi"/>
          <w:sz w:val="32"/>
          <w:szCs w:val="32"/>
          <w:lang w:val="en-GB" w:eastAsia="fr-FR"/>
        </w:rPr>
        <w:t>umentation</w:t>
      </w:r>
      <w:r w:rsidR="007D0F59" w:rsidRPr="007D0F59">
        <w:rPr>
          <w:rFonts w:eastAsia="Times New Roman" w:cstheme="minorHAnsi"/>
          <w:sz w:val="32"/>
          <w:szCs w:val="32"/>
          <w:lang w:val="en-GB" w:eastAsia="fr-FR"/>
        </w:rPr>
        <w:t>..</w:t>
      </w:r>
      <w:proofErr w:type="gramEnd"/>
      <w:r w:rsidRPr="00823731">
        <w:rPr>
          <w:rFonts w:eastAsia="Times New Roman" w:cstheme="minorHAnsi"/>
          <w:sz w:val="32"/>
          <w:szCs w:val="32"/>
          <w:lang w:val="en-GB" w:eastAsia="fr-FR"/>
        </w:rPr>
        <w:t>)</w:t>
      </w:r>
    </w:p>
    <w:p w14:paraId="6E2BFCCA" w14:textId="77777777" w:rsidR="00CB617F" w:rsidRDefault="00CB617F" w:rsidP="00CB617F">
      <w:pPr>
        <w:spacing w:before="100" w:beforeAutospacing="1" w:after="100" w:afterAutospacing="1" w:line="240" w:lineRule="auto"/>
        <w:jc w:val="both"/>
        <w:rPr>
          <w:rFonts w:eastAsia="Times New Roman" w:cstheme="minorHAnsi"/>
          <w:b/>
          <w:bCs/>
          <w:sz w:val="24"/>
          <w:szCs w:val="24"/>
          <w:lang w:val="en-GB" w:eastAsia="fr-FR"/>
        </w:rPr>
      </w:pPr>
    </w:p>
    <w:p w14:paraId="288DD389" w14:textId="77777777" w:rsidR="00CB617F" w:rsidRDefault="00CB617F" w:rsidP="00CB617F">
      <w:pPr>
        <w:spacing w:before="100" w:beforeAutospacing="1" w:after="100" w:afterAutospacing="1" w:line="240" w:lineRule="auto"/>
        <w:jc w:val="both"/>
        <w:rPr>
          <w:rFonts w:eastAsia="Times New Roman" w:cstheme="minorHAnsi"/>
          <w:b/>
          <w:bCs/>
          <w:sz w:val="24"/>
          <w:szCs w:val="24"/>
          <w:lang w:val="en-GB" w:eastAsia="fr-FR"/>
        </w:rPr>
      </w:pPr>
    </w:p>
    <w:p w14:paraId="63F8F5E0" w14:textId="77777777" w:rsidR="00CB617F" w:rsidRDefault="00CB617F" w:rsidP="00CB617F">
      <w:pPr>
        <w:spacing w:before="100" w:beforeAutospacing="1" w:after="100" w:afterAutospacing="1" w:line="240" w:lineRule="auto"/>
        <w:jc w:val="both"/>
        <w:rPr>
          <w:rFonts w:eastAsia="Times New Roman" w:cstheme="minorHAnsi"/>
          <w:b/>
          <w:bCs/>
          <w:sz w:val="24"/>
          <w:szCs w:val="24"/>
          <w:lang w:val="en-GB" w:eastAsia="fr-FR"/>
        </w:rPr>
      </w:pPr>
    </w:p>
    <w:p w14:paraId="60FD7AAC" w14:textId="64F09369" w:rsidR="00CB617F" w:rsidRPr="00FA55B9" w:rsidRDefault="00CB617F" w:rsidP="00CB617F">
      <w:pPr>
        <w:spacing w:before="100" w:beforeAutospacing="1" w:after="100" w:afterAutospacing="1" w:line="240" w:lineRule="auto"/>
        <w:jc w:val="both"/>
        <w:rPr>
          <w:rFonts w:eastAsia="Times New Roman" w:cstheme="minorHAnsi"/>
          <w:b/>
          <w:bCs/>
          <w:sz w:val="28"/>
          <w:szCs w:val="28"/>
          <w:lang w:val="en-GB" w:eastAsia="fr-FR"/>
        </w:rPr>
      </w:pPr>
      <w:r w:rsidRPr="00FA55B9">
        <w:rPr>
          <w:rFonts w:eastAsia="Times New Roman" w:cstheme="minorHAnsi"/>
          <w:b/>
          <w:bCs/>
          <w:sz w:val="28"/>
          <w:szCs w:val="28"/>
          <w:lang w:val="en-GB" w:eastAsia="fr-FR"/>
        </w:rPr>
        <w:t xml:space="preserve">GFII </w:t>
      </w:r>
      <w:r w:rsidRPr="00FA55B9">
        <w:rPr>
          <w:rFonts w:eastAsia="Times New Roman" w:cstheme="minorHAnsi"/>
          <w:b/>
          <w:bCs/>
          <w:sz w:val="28"/>
          <w:szCs w:val="28"/>
          <w:lang w:val="en-GB" w:eastAsia="fr-FR"/>
        </w:rPr>
        <w:tab/>
      </w:r>
      <w:r w:rsidRPr="00FA55B9">
        <w:rPr>
          <w:rFonts w:eastAsia="Times New Roman" w:cstheme="minorHAnsi"/>
          <w:b/>
          <w:bCs/>
          <w:sz w:val="28"/>
          <w:szCs w:val="28"/>
          <w:lang w:val="en-GB" w:eastAsia="fr-FR"/>
        </w:rPr>
        <w:tab/>
      </w:r>
      <w:r w:rsidRPr="00FA55B9">
        <w:rPr>
          <w:rFonts w:eastAsia="Times New Roman" w:cstheme="minorHAnsi"/>
          <w:b/>
          <w:bCs/>
          <w:sz w:val="28"/>
          <w:szCs w:val="28"/>
          <w:lang w:val="en-GB" w:eastAsia="fr-FR"/>
        </w:rPr>
        <w:tab/>
      </w:r>
      <w:r w:rsidRPr="00FA55B9">
        <w:rPr>
          <w:rFonts w:eastAsia="Times New Roman" w:cstheme="minorHAnsi"/>
          <w:b/>
          <w:bCs/>
          <w:sz w:val="28"/>
          <w:szCs w:val="28"/>
          <w:lang w:val="en-GB" w:eastAsia="fr-FR"/>
        </w:rPr>
        <w:tab/>
      </w:r>
      <w:r w:rsidRPr="00FA55B9">
        <w:rPr>
          <w:rFonts w:eastAsia="Times New Roman" w:cstheme="minorHAnsi"/>
          <w:b/>
          <w:bCs/>
          <w:sz w:val="28"/>
          <w:szCs w:val="28"/>
          <w:lang w:val="en-GB" w:eastAsia="fr-FR"/>
        </w:rPr>
        <w:tab/>
      </w:r>
      <w:r w:rsidRPr="00FA55B9">
        <w:rPr>
          <w:rFonts w:eastAsia="Times New Roman" w:cstheme="minorHAnsi"/>
          <w:b/>
          <w:bCs/>
          <w:sz w:val="28"/>
          <w:szCs w:val="28"/>
          <w:lang w:val="en-GB" w:eastAsia="fr-FR"/>
        </w:rPr>
        <w:tab/>
      </w:r>
      <w:r w:rsidRPr="00FA55B9">
        <w:rPr>
          <w:rFonts w:eastAsia="Times New Roman" w:cstheme="minorHAnsi"/>
          <w:b/>
          <w:bCs/>
          <w:sz w:val="28"/>
          <w:szCs w:val="28"/>
          <w:lang w:val="en-GB" w:eastAsia="fr-FR"/>
        </w:rPr>
        <w:tab/>
      </w:r>
      <w:r w:rsidRPr="00FA55B9">
        <w:rPr>
          <w:rFonts w:eastAsia="Times New Roman" w:cstheme="minorHAnsi"/>
          <w:b/>
          <w:bCs/>
          <w:sz w:val="28"/>
          <w:szCs w:val="28"/>
          <w:lang w:val="en-GB" w:eastAsia="fr-FR"/>
        </w:rPr>
        <w:tab/>
      </w:r>
      <w:r w:rsidR="00041892" w:rsidRPr="00FA55B9">
        <w:rPr>
          <w:rFonts w:eastAsia="Times New Roman" w:cstheme="minorHAnsi"/>
          <w:b/>
          <w:bCs/>
          <w:sz w:val="28"/>
          <w:szCs w:val="28"/>
          <w:lang w:val="en-GB" w:eastAsia="fr-FR"/>
        </w:rPr>
        <w:t>Contact:</w:t>
      </w:r>
      <w:r w:rsidRPr="00FA55B9">
        <w:rPr>
          <w:rFonts w:eastAsia="Times New Roman" w:cstheme="minorHAnsi"/>
          <w:b/>
          <w:bCs/>
          <w:sz w:val="28"/>
          <w:szCs w:val="28"/>
          <w:lang w:val="en-GB" w:eastAsia="fr-FR"/>
        </w:rPr>
        <w:t xml:space="preserve"> </w:t>
      </w:r>
    </w:p>
    <w:p w14:paraId="775812B0" w14:textId="77777777" w:rsidR="00CB617F" w:rsidRPr="00FA55B9" w:rsidRDefault="00CB617F" w:rsidP="00CB617F">
      <w:pPr>
        <w:spacing w:after="0" w:line="240" w:lineRule="auto"/>
        <w:jc w:val="both"/>
        <w:rPr>
          <w:rFonts w:eastAsia="Times New Roman" w:cstheme="minorHAnsi"/>
          <w:sz w:val="24"/>
          <w:szCs w:val="24"/>
          <w:lang w:val="en-GB" w:eastAsia="fr-FR"/>
        </w:rPr>
      </w:pPr>
      <w:r w:rsidRPr="00FA55B9">
        <w:rPr>
          <w:rFonts w:eastAsia="Times New Roman" w:cstheme="minorHAnsi"/>
          <w:sz w:val="24"/>
          <w:szCs w:val="24"/>
          <w:lang w:val="en-GB" w:eastAsia="fr-FR"/>
        </w:rPr>
        <w:t xml:space="preserve">17, rue </w:t>
      </w:r>
      <w:proofErr w:type="spellStart"/>
      <w:r w:rsidRPr="00FA55B9">
        <w:rPr>
          <w:rFonts w:eastAsia="Times New Roman" w:cstheme="minorHAnsi"/>
          <w:sz w:val="24"/>
          <w:szCs w:val="24"/>
          <w:lang w:val="en-GB" w:eastAsia="fr-FR"/>
        </w:rPr>
        <w:t>Castagnary</w:t>
      </w:r>
      <w:proofErr w:type="spellEnd"/>
      <w:r w:rsidRPr="00FA55B9">
        <w:rPr>
          <w:rFonts w:eastAsia="Times New Roman" w:cstheme="minorHAnsi"/>
          <w:sz w:val="24"/>
          <w:szCs w:val="24"/>
          <w:lang w:val="en-GB" w:eastAsia="fr-FR"/>
        </w:rPr>
        <w:t xml:space="preserve"> </w:t>
      </w:r>
      <w:r w:rsidRPr="00FA55B9">
        <w:rPr>
          <w:rFonts w:eastAsia="Times New Roman" w:cstheme="minorHAnsi"/>
          <w:sz w:val="24"/>
          <w:szCs w:val="24"/>
          <w:lang w:val="en-GB" w:eastAsia="fr-FR"/>
        </w:rPr>
        <w:tab/>
      </w:r>
      <w:r w:rsidRPr="00FA55B9">
        <w:rPr>
          <w:rFonts w:eastAsia="Times New Roman" w:cstheme="minorHAnsi"/>
          <w:sz w:val="24"/>
          <w:szCs w:val="24"/>
          <w:lang w:val="en-GB" w:eastAsia="fr-FR"/>
        </w:rPr>
        <w:tab/>
      </w:r>
      <w:r w:rsidRPr="00FA55B9">
        <w:rPr>
          <w:rFonts w:eastAsia="Times New Roman" w:cstheme="minorHAnsi"/>
          <w:sz w:val="24"/>
          <w:szCs w:val="24"/>
          <w:lang w:val="en-GB" w:eastAsia="fr-FR"/>
        </w:rPr>
        <w:tab/>
      </w:r>
      <w:r w:rsidRPr="00FA55B9">
        <w:rPr>
          <w:rFonts w:eastAsia="Times New Roman" w:cstheme="minorHAnsi"/>
          <w:sz w:val="24"/>
          <w:szCs w:val="24"/>
          <w:lang w:val="en-GB" w:eastAsia="fr-FR"/>
        </w:rPr>
        <w:tab/>
      </w:r>
      <w:r w:rsidRPr="00FA55B9">
        <w:rPr>
          <w:rFonts w:eastAsia="Times New Roman" w:cstheme="minorHAnsi"/>
          <w:sz w:val="24"/>
          <w:szCs w:val="24"/>
          <w:lang w:val="en-GB" w:eastAsia="fr-FR"/>
        </w:rPr>
        <w:tab/>
      </w:r>
      <w:r w:rsidRPr="00FA55B9">
        <w:rPr>
          <w:rFonts w:eastAsia="Times New Roman" w:cstheme="minorHAnsi"/>
          <w:sz w:val="24"/>
          <w:szCs w:val="24"/>
          <w:lang w:val="en-GB" w:eastAsia="fr-FR"/>
        </w:rPr>
        <w:tab/>
        <w:t>Anne-Christine Carpentier</w:t>
      </w:r>
    </w:p>
    <w:p w14:paraId="08D1F3F6" w14:textId="77777777" w:rsidR="00CB617F" w:rsidRPr="00EF00B2" w:rsidRDefault="00CB617F" w:rsidP="00CB617F">
      <w:pPr>
        <w:spacing w:after="0" w:line="240" w:lineRule="auto"/>
        <w:jc w:val="both"/>
        <w:rPr>
          <w:rFonts w:eastAsia="Times New Roman" w:cstheme="minorHAnsi"/>
          <w:sz w:val="24"/>
          <w:szCs w:val="24"/>
          <w:lang w:val="en-GB" w:eastAsia="fr-FR"/>
        </w:rPr>
      </w:pPr>
      <w:r w:rsidRPr="00EF00B2">
        <w:rPr>
          <w:rFonts w:eastAsia="Times New Roman" w:cstheme="minorHAnsi"/>
          <w:sz w:val="24"/>
          <w:szCs w:val="24"/>
          <w:lang w:val="en-GB" w:eastAsia="fr-FR"/>
        </w:rPr>
        <w:t>75015 Paris</w:t>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Pr>
          <w:rFonts w:eastAsia="Times New Roman" w:cstheme="minorHAnsi"/>
          <w:sz w:val="24"/>
          <w:szCs w:val="24"/>
          <w:lang w:val="en-GB" w:eastAsia="fr-FR"/>
        </w:rPr>
        <w:tab/>
      </w:r>
      <w:r w:rsidRPr="00EF00B2">
        <w:rPr>
          <w:rFonts w:eastAsia="Times New Roman" w:cstheme="minorHAnsi"/>
          <w:sz w:val="24"/>
          <w:szCs w:val="24"/>
          <w:lang w:val="en-GB" w:eastAsia="fr-FR"/>
        </w:rPr>
        <w:t xml:space="preserve">Executive </w:t>
      </w:r>
      <w:r>
        <w:rPr>
          <w:rFonts w:eastAsia="Times New Roman" w:cstheme="minorHAnsi"/>
          <w:sz w:val="24"/>
          <w:szCs w:val="24"/>
          <w:lang w:val="en-GB" w:eastAsia="fr-FR"/>
        </w:rPr>
        <w:t>O</w:t>
      </w:r>
      <w:r w:rsidRPr="00EF00B2">
        <w:rPr>
          <w:rFonts w:eastAsia="Times New Roman" w:cstheme="minorHAnsi"/>
          <w:sz w:val="24"/>
          <w:szCs w:val="24"/>
          <w:lang w:val="en-GB" w:eastAsia="fr-FR"/>
        </w:rPr>
        <w:t>ffi</w:t>
      </w:r>
      <w:r>
        <w:rPr>
          <w:rFonts w:eastAsia="Times New Roman" w:cstheme="minorHAnsi"/>
          <w:sz w:val="24"/>
          <w:szCs w:val="24"/>
          <w:lang w:val="en-GB" w:eastAsia="fr-FR"/>
        </w:rPr>
        <w:t>c</w:t>
      </w:r>
      <w:r w:rsidRPr="00EF00B2">
        <w:rPr>
          <w:rFonts w:eastAsia="Times New Roman" w:cstheme="minorHAnsi"/>
          <w:sz w:val="24"/>
          <w:szCs w:val="24"/>
          <w:lang w:val="en-GB" w:eastAsia="fr-FR"/>
        </w:rPr>
        <w:t>er</w:t>
      </w:r>
    </w:p>
    <w:p w14:paraId="7988C7F4" w14:textId="77777777" w:rsidR="00CB617F" w:rsidRDefault="00CB617F" w:rsidP="00CB617F">
      <w:pPr>
        <w:spacing w:after="0" w:line="240" w:lineRule="auto"/>
        <w:jc w:val="both"/>
        <w:rPr>
          <w:rFonts w:eastAsia="Times New Roman" w:cstheme="minorHAnsi"/>
          <w:sz w:val="24"/>
          <w:szCs w:val="24"/>
          <w:lang w:val="en-GB" w:eastAsia="fr-FR"/>
        </w:rPr>
      </w:pPr>
      <w:r w:rsidRPr="00EF00B2">
        <w:rPr>
          <w:rFonts w:eastAsia="Times New Roman" w:cstheme="minorHAnsi"/>
          <w:sz w:val="24"/>
          <w:szCs w:val="24"/>
          <w:lang w:val="en-GB" w:eastAsia="fr-FR"/>
        </w:rPr>
        <w:t>France</w:t>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sidRPr="00EF00B2">
        <w:rPr>
          <w:rFonts w:eastAsia="Times New Roman" w:cstheme="minorHAnsi"/>
          <w:sz w:val="24"/>
          <w:szCs w:val="24"/>
          <w:lang w:val="en-GB" w:eastAsia="fr-FR"/>
        </w:rPr>
        <w:tab/>
      </w:r>
      <w:r>
        <w:rPr>
          <w:rFonts w:eastAsia="Times New Roman" w:cstheme="minorHAnsi"/>
          <w:sz w:val="24"/>
          <w:szCs w:val="24"/>
          <w:lang w:val="en-GB" w:eastAsia="fr-FR"/>
        </w:rPr>
        <w:tab/>
      </w:r>
      <w:r w:rsidRPr="00EF00B2">
        <w:rPr>
          <w:rFonts w:eastAsia="Times New Roman" w:cstheme="minorHAnsi"/>
          <w:sz w:val="24"/>
          <w:szCs w:val="24"/>
          <w:lang w:val="en-GB" w:eastAsia="fr-FR"/>
        </w:rPr>
        <w:t>Phone: +33 1 43 72 96 52</w:t>
      </w:r>
    </w:p>
    <w:p w14:paraId="0F6BE690" w14:textId="77777777" w:rsidR="00CB617F" w:rsidRDefault="00CB617F" w:rsidP="00CB617F">
      <w:pPr>
        <w:spacing w:after="0" w:line="240" w:lineRule="auto"/>
        <w:jc w:val="both"/>
        <w:rPr>
          <w:rFonts w:eastAsia="Times New Roman" w:cstheme="minorHAnsi"/>
          <w:sz w:val="24"/>
          <w:szCs w:val="24"/>
          <w:lang w:val="en-GB" w:eastAsia="fr-FR"/>
        </w:rPr>
      </w:pPr>
      <w:r>
        <w:rPr>
          <w:rFonts w:eastAsia="Times New Roman" w:cstheme="minorHAnsi"/>
          <w:sz w:val="24"/>
          <w:szCs w:val="24"/>
          <w:lang w:val="en-GB" w:eastAsia="fr-FR"/>
        </w:rPr>
        <w:tab/>
      </w:r>
      <w:r>
        <w:rPr>
          <w:rFonts w:eastAsia="Times New Roman" w:cstheme="minorHAnsi"/>
          <w:sz w:val="24"/>
          <w:szCs w:val="24"/>
          <w:lang w:val="en-GB" w:eastAsia="fr-FR"/>
        </w:rPr>
        <w:tab/>
      </w:r>
      <w:r>
        <w:rPr>
          <w:rFonts w:eastAsia="Times New Roman" w:cstheme="minorHAnsi"/>
          <w:sz w:val="24"/>
          <w:szCs w:val="24"/>
          <w:lang w:val="en-GB" w:eastAsia="fr-FR"/>
        </w:rPr>
        <w:tab/>
      </w:r>
      <w:r>
        <w:rPr>
          <w:rFonts w:eastAsia="Times New Roman" w:cstheme="minorHAnsi"/>
          <w:sz w:val="24"/>
          <w:szCs w:val="24"/>
          <w:lang w:val="en-GB" w:eastAsia="fr-FR"/>
        </w:rPr>
        <w:tab/>
      </w:r>
      <w:r>
        <w:rPr>
          <w:rFonts w:eastAsia="Times New Roman" w:cstheme="minorHAnsi"/>
          <w:sz w:val="24"/>
          <w:szCs w:val="24"/>
          <w:lang w:val="en-GB" w:eastAsia="fr-FR"/>
        </w:rPr>
        <w:tab/>
      </w:r>
      <w:r>
        <w:rPr>
          <w:rFonts w:eastAsia="Times New Roman" w:cstheme="minorHAnsi"/>
          <w:sz w:val="24"/>
          <w:szCs w:val="24"/>
          <w:lang w:val="en-GB" w:eastAsia="fr-FR"/>
        </w:rPr>
        <w:tab/>
      </w:r>
      <w:r>
        <w:rPr>
          <w:rFonts w:eastAsia="Times New Roman" w:cstheme="minorHAnsi"/>
          <w:sz w:val="24"/>
          <w:szCs w:val="24"/>
          <w:lang w:val="en-GB" w:eastAsia="fr-FR"/>
        </w:rPr>
        <w:tab/>
      </w:r>
      <w:r>
        <w:rPr>
          <w:rFonts w:eastAsia="Times New Roman" w:cstheme="minorHAnsi"/>
          <w:sz w:val="24"/>
          <w:szCs w:val="24"/>
          <w:lang w:val="en-GB" w:eastAsia="fr-FR"/>
        </w:rPr>
        <w:tab/>
        <w:t xml:space="preserve">Mail: </w:t>
      </w:r>
      <w:hyperlink r:id="rId8" w:history="1">
        <w:r w:rsidRPr="00A24C12">
          <w:rPr>
            <w:rStyle w:val="Lienhypertexte"/>
            <w:rFonts w:eastAsia="Times New Roman" w:cstheme="minorHAnsi"/>
            <w:sz w:val="24"/>
            <w:szCs w:val="24"/>
            <w:lang w:val="en-GB" w:eastAsia="fr-FR"/>
          </w:rPr>
          <w:t>ac.carpentier@gfii.fr</w:t>
        </w:r>
      </w:hyperlink>
    </w:p>
    <w:p w14:paraId="051C29AA" w14:textId="16B8A1EF" w:rsidR="00224247" w:rsidRPr="0006268A" w:rsidRDefault="00224247" w:rsidP="00953478">
      <w:pPr>
        <w:spacing w:before="100" w:beforeAutospacing="1" w:after="100" w:afterAutospacing="1" w:line="240" w:lineRule="auto"/>
        <w:jc w:val="both"/>
        <w:rPr>
          <w:rFonts w:eastAsia="Times New Roman" w:cstheme="minorHAnsi"/>
          <w:color w:val="000000" w:themeColor="text1"/>
          <w:sz w:val="28"/>
          <w:szCs w:val="28"/>
          <w:u w:val="single"/>
          <w:lang w:val="en-GB" w:eastAsia="fr-FR"/>
        </w:rPr>
      </w:pPr>
      <w:r w:rsidRPr="0006268A">
        <w:rPr>
          <w:rFonts w:eastAsia="Times New Roman" w:cstheme="minorHAnsi"/>
          <w:b/>
          <w:bCs/>
          <w:color w:val="000000" w:themeColor="text1"/>
          <w:sz w:val="28"/>
          <w:szCs w:val="28"/>
          <w:u w:val="single"/>
          <w:lang w:val="en-GB" w:eastAsia="fr-FR"/>
        </w:rPr>
        <w:t>1. Re-use of certain categories of protected data held by public sector bodies (chapter II of the draft DGA)</w:t>
      </w:r>
    </w:p>
    <w:p w14:paraId="24770F2A"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 The idea of enabling the re-use of protected Public Sector Information looks appealing as it </w:t>
      </w:r>
      <w:proofErr w:type="gramStart"/>
      <w:r w:rsidRPr="0079408D">
        <w:rPr>
          <w:rFonts w:eastAsia="Times New Roman" w:cstheme="minorHAnsi"/>
          <w:sz w:val="24"/>
          <w:szCs w:val="24"/>
          <w:lang w:val="en-GB" w:eastAsia="fr-FR"/>
        </w:rPr>
        <w:t>takes into account</w:t>
      </w:r>
      <w:proofErr w:type="gramEnd"/>
      <w:r w:rsidRPr="0079408D">
        <w:rPr>
          <w:rFonts w:eastAsia="Times New Roman" w:cstheme="minorHAnsi"/>
          <w:sz w:val="24"/>
          <w:szCs w:val="24"/>
          <w:lang w:val="en-GB" w:eastAsia="fr-FR"/>
        </w:rPr>
        <w:t xml:space="preserve"> the purpose of re-use of data, which is very important from GFII’s point of view.</w:t>
      </w:r>
    </w:p>
    <w:p w14:paraId="068D7EC6" w14:textId="6291A9DC" w:rsidR="00224247" w:rsidRPr="0006268A" w:rsidRDefault="00224247" w:rsidP="00953478">
      <w:pPr>
        <w:spacing w:before="100" w:beforeAutospacing="1" w:after="100" w:afterAutospacing="1" w:line="240" w:lineRule="auto"/>
        <w:jc w:val="both"/>
        <w:rPr>
          <w:rFonts w:eastAsia="Times New Roman" w:cstheme="minorHAnsi"/>
          <w:color w:val="FF0000"/>
          <w:sz w:val="24"/>
          <w:szCs w:val="24"/>
          <w:lang w:val="en-GB" w:eastAsia="fr-FR"/>
        </w:rPr>
      </w:pPr>
      <w:r w:rsidRPr="0006268A">
        <w:rPr>
          <w:rFonts w:eastAsia="Times New Roman" w:cstheme="minorHAnsi"/>
          <w:color w:val="FF0000"/>
          <w:sz w:val="24"/>
          <w:szCs w:val="24"/>
          <w:lang w:val="en-GB" w:eastAsia="fr-FR"/>
        </w:rPr>
        <w:t> </w:t>
      </w:r>
      <w:r w:rsidR="0006268A">
        <w:rPr>
          <w:rFonts w:eastAsia="Times New Roman" w:cstheme="minorHAnsi"/>
          <w:color w:val="FF0000"/>
          <w:sz w:val="24"/>
          <w:szCs w:val="24"/>
          <w:lang w:val="en-GB" w:eastAsia="fr-FR"/>
        </w:rPr>
        <w:t xml:space="preserve">1 - </w:t>
      </w:r>
      <w:r w:rsidRPr="0006268A">
        <w:rPr>
          <w:rFonts w:eastAsia="Times New Roman" w:cstheme="minorHAnsi"/>
          <w:b/>
          <w:bCs/>
          <w:color w:val="FF0000"/>
          <w:sz w:val="24"/>
          <w:szCs w:val="24"/>
          <w:lang w:val="en-GB" w:eastAsia="fr-FR"/>
        </w:rPr>
        <w:t>Data value and re-use categories</w:t>
      </w:r>
    </w:p>
    <w:p w14:paraId="7D453476"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As well mentioned in the “Strategy for Data”, “</w:t>
      </w:r>
      <w:r w:rsidRPr="0079408D">
        <w:rPr>
          <w:rFonts w:eastAsia="Times New Roman" w:cstheme="minorHAnsi"/>
          <w:i/>
          <w:sz w:val="24"/>
          <w:szCs w:val="24"/>
          <w:lang w:val="en-GB" w:eastAsia="fr-FR"/>
        </w:rPr>
        <w:t>the value of data lies in its use and re-use</w:t>
      </w:r>
      <w:r w:rsidRPr="0079408D">
        <w:rPr>
          <w:rFonts w:eastAsia="Times New Roman" w:cstheme="minorHAnsi"/>
          <w:sz w:val="24"/>
          <w:szCs w:val="24"/>
          <w:lang w:val="en-GB" w:eastAsia="fr-FR"/>
        </w:rPr>
        <w:t>”, which means that the public body should know why “its” data are re-used, and not only the number of downloaded files or the number of accounts opened to access APIs. Which is not the case at present time with “open” Public Sector Information, with advantages as well as inconveniences.</w:t>
      </w:r>
    </w:p>
    <w:p w14:paraId="62FA9E75"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Among the latter, we can notice that one same and unique right, identical for all re-users, generates </w:t>
      </w:r>
      <w:r w:rsidRPr="0079408D">
        <w:rPr>
          <w:rFonts w:eastAsia="Times New Roman" w:cstheme="minorHAnsi"/>
          <w:i/>
          <w:iCs/>
          <w:sz w:val="24"/>
          <w:szCs w:val="24"/>
          <w:lang w:val="en-GB" w:eastAsia="fr-FR"/>
        </w:rPr>
        <w:t>de facto</w:t>
      </w:r>
      <w:r w:rsidRPr="0079408D">
        <w:rPr>
          <w:rFonts w:eastAsia="Times New Roman" w:cstheme="minorHAnsi"/>
          <w:sz w:val="24"/>
          <w:szCs w:val="24"/>
          <w:lang w:val="en-GB" w:eastAsia="fr-FR"/>
        </w:rPr>
        <w:t xml:space="preserve"> a restrictive right for some of the use cases, which looks quite counterproductive according to the objective of development of the data economy.</w:t>
      </w:r>
    </w:p>
    <w:p w14:paraId="439DD7A1"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There are different categories of re-users, whose economic and legal environments are different, which can / could justify that data could be made available differently.</w:t>
      </w:r>
    </w:p>
    <w:p w14:paraId="19660F43"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Of course, rights and duties should remain equitable, practical and explicit and data should circulate in the EU as well as between sectors.</w:t>
      </w:r>
    </w:p>
    <w:p w14:paraId="7B6433A9"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This is why we would consider pertinent to have different levels of access / re-use rights as well as different levels of legal rights and duties according to the purpose of re</w:t>
      </w:r>
      <w:r w:rsidR="00DA4555" w:rsidRPr="0079408D">
        <w:rPr>
          <w:rFonts w:eastAsia="Times New Roman" w:cstheme="minorHAnsi"/>
          <w:sz w:val="24"/>
          <w:szCs w:val="24"/>
          <w:lang w:val="en-GB" w:eastAsia="fr-FR"/>
        </w:rPr>
        <w:t>-</w:t>
      </w:r>
      <w:r w:rsidRPr="0079408D">
        <w:rPr>
          <w:rFonts w:eastAsia="Times New Roman" w:cstheme="minorHAnsi"/>
          <w:sz w:val="24"/>
          <w:szCs w:val="24"/>
          <w:lang w:val="en-GB" w:eastAsia="fr-FR"/>
        </w:rPr>
        <w:t xml:space="preserve">use and </w:t>
      </w:r>
      <w:proofErr w:type="spellStart"/>
      <w:r w:rsidRPr="0079408D">
        <w:rPr>
          <w:rFonts w:eastAsia="Times New Roman" w:cstheme="minorHAnsi"/>
          <w:sz w:val="24"/>
          <w:szCs w:val="24"/>
          <w:lang w:val="en-GB" w:eastAsia="fr-FR"/>
        </w:rPr>
        <w:t>reusers</w:t>
      </w:r>
      <w:proofErr w:type="spellEnd"/>
      <w:r w:rsidRPr="0079408D">
        <w:rPr>
          <w:rFonts w:eastAsia="Times New Roman" w:cstheme="minorHAnsi"/>
          <w:sz w:val="24"/>
          <w:szCs w:val="24"/>
          <w:lang w:val="en-GB" w:eastAsia="fr-FR"/>
        </w:rPr>
        <w:t>’ end-users.</w:t>
      </w:r>
    </w:p>
    <w:p w14:paraId="0ADC5F64" w14:textId="48BCADC8" w:rsidR="00224247" w:rsidRPr="0006268A" w:rsidRDefault="0006268A" w:rsidP="00953478">
      <w:pPr>
        <w:spacing w:before="100" w:beforeAutospacing="1" w:after="100" w:afterAutospacing="1" w:line="240" w:lineRule="auto"/>
        <w:jc w:val="both"/>
        <w:rPr>
          <w:rFonts w:eastAsia="Times New Roman" w:cstheme="minorHAnsi"/>
          <w:color w:val="FF0000"/>
          <w:sz w:val="24"/>
          <w:szCs w:val="24"/>
          <w:lang w:val="en-GB" w:eastAsia="fr-FR"/>
        </w:rPr>
      </w:pPr>
      <w:r>
        <w:rPr>
          <w:rFonts w:eastAsia="Times New Roman" w:cstheme="minorHAnsi"/>
          <w:b/>
          <w:bCs/>
          <w:color w:val="FF0000"/>
          <w:sz w:val="24"/>
          <w:szCs w:val="24"/>
          <w:lang w:val="en-GB" w:eastAsia="fr-FR"/>
        </w:rPr>
        <w:t xml:space="preserve">2 - </w:t>
      </w:r>
      <w:r w:rsidR="00224247" w:rsidRPr="0006268A">
        <w:rPr>
          <w:rFonts w:eastAsia="Times New Roman" w:cstheme="minorHAnsi"/>
          <w:b/>
          <w:bCs/>
          <w:color w:val="FF0000"/>
          <w:sz w:val="24"/>
          <w:szCs w:val="24"/>
          <w:lang w:val="en-GB" w:eastAsia="fr-FR"/>
        </w:rPr>
        <w:t>No obligation on public sector bodies to allow re-use of data</w:t>
      </w:r>
    </w:p>
    <w:p w14:paraId="43443859"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 point (3) of the article 3 provides that “</w:t>
      </w:r>
      <w:r w:rsidRPr="0079408D">
        <w:rPr>
          <w:rFonts w:eastAsia="Times New Roman" w:cstheme="minorHAnsi"/>
          <w:i/>
          <w:sz w:val="24"/>
          <w:szCs w:val="24"/>
          <w:lang w:val="en-GB" w:eastAsia="fr-FR"/>
        </w:rPr>
        <w:t>the provisions of [this] Chapter [II] do not create any obligation on public sector bodies to allow re-use of data</w:t>
      </w:r>
      <w:r w:rsidRPr="0079408D">
        <w:rPr>
          <w:rFonts w:eastAsia="Times New Roman" w:cstheme="minorHAnsi"/>
          <w:sz w:val="24"/>
          <w:szCs w:val="24"/>
          <w:lang w:val="en-GB" w:eastAsia="fr-FR"/>
        </w:rPr>
        <w:t xml:space="preserve"> </w:t>
      </w:r>
      <w:proofErr w:type="gramStart"/>
      <w:r w:rsidRPr="0079408D">
        <w:rPr>
          <w:rFonts w:eastAsia="Times New Roman" w:cstheme="minorHAnsi"/>
          <w:sz w:val="24"/>
          <w:szCs w:val="24"/>
          <w:lang w:val="en-GB" w:eastAsia="fr-FR"/>
        </w:rPr>
        <w:t>… ”</w:t>
      </w:r>
      <w:proofErr w:type="gramEnd"/>
      <w:r w:rsidRPr="0079408D">
        <w:rPr>
          <w:rFonts w:eastAsia="Times New Roman" w:cstheme="minorHAnsi"/>
          <w:sz w:val="24"/>
          <w:szCs w:val="24"/>
          <w:lang w:val="en-GB" w:eastAsia="fr-FR"/>
        </w:rPr>
        <w:t>, which is quite confusing.</w:t>
      </w:r>
    </w:p>
    <w:p w14:paraId="2B3290F0"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Does it mean that there is no obligation to allow the re-use of existing protected datasets or does it mean that there is no obligation when / if the purpose of re-use does cannot be accepted?</w:t>
      </w:r>
    </w:p>
    <w:p w14:paraId="4DEF2286" w14:textId="5F3E7114" w:rsidR="00224247"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 first interpretation would immediately reduce access to protected datasets; as a matter of fact, public bodies already have organizational, technical and financial difficulties to make their “open” Public Sector Information available for re-use according to high quality standards.</w:t>
      </w:r>
    </w:p>
    <w:p w14:paraId="6A0C58A0" w14:textId="4445DEE2" w:rsidR="00224247" w:rsidRPr="0006268A" w:rsidRDefault="0006268A" w:rsidP="00953478">
      <w:pPr>
        <w:spacing w:before="100" w:beforeAutospacing="1" w:after="100" w:afterAutospacing="1" w:line="240" w:lineRule="auto"/>
        <w:jc w:val="both"/>
        <w:rPr>
          <w:rFonts w:eastAsia="Times New Roman" w:cstheme="minorHAnsi"/>
          <w:color w:val="FF0000"/>
          <w:sz w:val="24"/>
          <w:szCs w:val="24"/>
          <w:lang w:val="en-GB" w:eastAsia="fr-FR"/>
        </w:rPr>
      </w:pPr>
      <w:r>
        <w:rPr>
          <w:rFonts w:eastAsia="Times New Roman" w:cstheme="minorHAnsi"/>
          <w:color w:val="FF0000"/>
          <w:sz w:val="24"/>
          <w:szCs w:val="24"/>
          <w:lang w:val="en-GB" w:eastAsia="fr-FR"/>
        </w:rPr>
        <w:t>3 -</w:t>
      </w:r>
      <w:r w:rsidR="00224247" w:rsidRPr="0006268A">
        <w:rPr>
          <w:rFonts w:eastAsia="Times New Roman" w:cstheme="minorHAnsi"/>
          <w:color w:val="FF0000"/>
          <w:sz w:val="24"/>
          <w:szCs w:val="24"/>
          <w:lang w:val="en-GB" w:eastAsia="fr-FR"/>
        </w:rPr>
        <w:t> </w:t>
      </w:r>
      <w:r w:rsidR="00953478" w:rsidRPr="0006268A">
        <w:rPr>
          <w:rFonts w:eastAsia="Times New Roman" w:cstheme="minorHAnsi"/>
          <w:b/>
          <w:bCs/>
          <w:color w:val="FF0000"/>
          <w:sz w:val="24"/>
          <w:szCs w:val="24"/>
          <w:lang w:val="en-GB" w:eastAsia="fr-FR"/>
        </w:rPr>
        <w:t>Conditions for allowing the re</w:t>
      </w:r>
      <w:r w:rsidR="00224247" w:rsidRPr="0006268A">
        <w:rPr>
          <w:rFonts w:eastAsia="Times New Roman" w:cstheme="minorHAnsi"/>
          <w:b/>
          <w:bCs/>
          <w:color w:val="FF0000"/>
          <w:sz w:val="24"/>
          <w:szCs w:val="24"/>
          <w:lang w:val="en-GB" w:eastAsia="fr-FR"/>
        </w:rPr>
        <w:t>use of protected datasets</w:t>
      </w:r>
    </w:p>
    <w:p w14:paraId="76B0EC2E" w14:textId="2D50AF81"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Public sector bodies shall make publicly available the conditions for allowing the re-use. As it will probably be difficult for each public body to anticipa</w:t>
      </w:r>
      <w:r w:rsidR="00953478" w:rsidRPr="0079408D">
        <w:rPr>
          <w:rFonts w:eastAsia="Times New Roman" w:cstheme="minorHAnsi"/>
          <w:sz w:val="24"/>
          <w:szCs w:val="24"/>
          <w:lang w:val="en-GB" w:eastAsia="fr-FR"/>
        </w:rPr>
        <w:t>te all potential purposes of re</w:t>
      </w:r>
      <w:r w:rsidRPr="0079408D">
        <w:rPr>
          <w:rFonts w:eastAsia="Times New Roman" w:cstheme="minorHAnsi"/>
          <w:sz w:val="24"/>
          <w:szCs w:val="24"/>
          <w:lang w:val="en-GB" w:eastAsia="fr-FR"/>
        </w:rPr>
        <w:t xml:space="preserve">use, the “candidate” should be able to contact </w:t>
      </w:r>
      <w:proofErr w:type="gramStart"/>
      <w:r w:rsidRPr="0079408D">
        <w:rPr>
          <w:rFonts w:eastAsia="Times New Roman" w:cstheme="minorHAnsi"/>
          <w:sz w:val="24"/>
          <w:szCs w:val="24"/>
          <w:lang w:val="en-GB" w:eastAsia="fr-FR"/>
        </w:rPr>
        <w:t>it</w:t>
      </w:r>
      <w:proofErr w:type="gramEnd"/>
      <w:r w:rsidRPr="0079408D">
        <w:rPr>
          <w:rFonts w:eastAsia="Times New Roman" w:cstheme="minorHAnsi"/>
          <w:sz w:val="24"/>
          <w:szCs w:val="24"/>
          <w:lang w:val="en-GB" w:eastAsia="fr-FR"/>
        </w:rPr>
        <w:t xml:space="preserve"> or the competent body described in article 7 to explain what </w:t>
      </w:r>
      <w:r w:rsidR="00953478" w:rsidRPr="0079408D">
        <w:rPr>
          <w:rFonts w:eastAsia="Times New Roman" w:cstheme="minorHAnsi"/>
          <w:sz w:val="24"/>
          <w:szCs w:val="24"/>
          <w:lang w:val="en-GB" w:eastAsia="fr-FR"/>
        </w:rPr>
        <w:t>its objectives are</w:t>
      </w:r>
      <w:r w:rsidRPr="0079408D">
        <w:rPr>
          <w:rFonts w:eastAsia="Times New Roman" w:cstheme="minorHAnsi"/>
          <w:sz w:val="24"/>
          <w:szCs w:val="24"/>
          <w:lang w:val="en-GB" w:eastAsia="fr-FR"/>
        </w:rPr>
        <w:t>. Of course, the explanations should remain confidential.</w:t>
      </w:r>
    </w:p>
    <w:p w14:paraId="7C619CCA" w14:textId="0C8FFB3E" w:rsidR="00224247" w:rsidRPr="0006268A" w:rsidRDefault="0006268A" w:rsidP="00953478">
      <w:pPr>
        <w:spacing w:before="100" w:beforeAutospacing="1" w:after="100" w:afterAutospacing="1" w:line="240" w:lineRule="auto"/>
        <w:jc w:val="both"/>
        <w:rPr>
          <w:rFonts w:eastAsia="Times New Roman" w:cstheme="minorHAnsi"/>
          <w:b/>
          <w:bCs/>
          <w:color w:val="FF0000"/>
          <w:sz w:val="24"/>
          <w:szCs w:val="24"/>
          <w:lang w:val="en-GB" w:eastAsia="fr-FR"/>
        </w:rPr>
      </w:pPr>
      <w:r w:rsidRPr="0006268A">
        <w:rPr>
          <w:rFonts w:eastAsia="Times New Roman" w:cstheme="minorHAnsi"/>
          <w:b/>
          <w:bCs/>
          <w:color w:val="FF0000"/>
          <w:sz w:val="24"/>
          <w:szCs w:val="24"/>
          <w:lang w:val="en-GB" w:eastAsia="fr-FR"/>
        </w:rPr>
        <w:t xml:space="preserve">4 - </w:t>
      </w:r>
      <w:r w:rsidR="00224247" w:rsidRPr="0006268A">
        <w:rPr>
          <w:rFonts w:eastAsia="Times New Roman" w:cstheme="minorHAnsi"/>
          <w:b/>
          <w:bCs/>
          <w:color w:val="FF0000"/>
          <w:sz w:val="24"/>
          <w:szCs w:val="24"/>
          <w:lang w:val="en-GB" w:eastAsia="fr-FR"/>
        </w:rPr>
        <w:t>Data catalogue</w:t>
      </w:r>
    </w:p>
    <w:p w14:paraId="47C8E9CB"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In order to receive explic</w:t>
      </w:r>
      <w:r w:rsidR="00953478" w:rsidRPr="0079408D">
        <w:rPr>
          <w:rFonts w:eastAsia="Times New Roman" w:cstheme="minorHAnsi"/>
          <w:sz w:val="24"/>
          <w:szCs w:val="24"/>
          <w:lang w:val="en-GB" w:eastAsia="fr-FR"/>
        </w:rPr>
        <w:t>it and detailed requests for re</w:t>
      </w:r>
      <w:r w:rsidRPr="0079408D">
        <w:rPr>
          <w:rFonts w:eastAsia="Times New Roman" w:cstheme="minorHAnsi"/>
          <w:sz w:val="24"/>
          <w:szCs w:val="24"/>
          <w:lang w:val="en-GB" w:eastAsia="fr-FR"/>
        </w:rPr>
        <w:t xml:space="preserve">use, the public body will have to make publicly available the characteristics of its protected datasets (content / fields / technical options to access data …), </w:t>
      </w:r>
      <w:proofErr w:type="spellStart"/>
      <w:r w:rsidRPr="0079408D">
        <w:rPr>
          <w:rFonts w:eastAsia="Times New Roman" w:cstheme="minorHAnsi"/>
          <w:sz w:val="24"/>
          <w:szCs w:val="24"/>
          <w:lang w:val="en-GB" w:eastAsia="fr-FR"/>
        </w:rPr>
        <w:t>i</w:t>
      </w:r>
      <w:r w:rsidR="00953478" w:rsidRPr="0079408D">
        <w:rPr>
          <w:rFonts w:eastAsia="Times New Roman" w:cstheme="minorHAnsi"/>
          <w:sz w:val="24"/>
          <w:szCs w:val="24"/>
          <w:lang w:val="en-GB" w:eastAsia="fr-FR"/>
        </w:rPr>
        <w:t>.</w:t>
      </w:r>
      <w:r w:rsidRPr="0079408D">
        <w:rPr>
          <w:rFonts w:eastAsia="Times New Roman" w:cstheme="minorHAnsi"/>
          <w:sz w:val="24"/>
          <w:szCs w:val="24"/>
          <w:lang w:val="en-GB" w:eastAsia="fr-FR"/>
        </w:rPr>
        <w:t>e</w:t>
      </w:r>
      <w:proofErr w:type="spellEnd"/>
      <w:r w:rsidRPr="0079408D">
        <w:rPr>
          <w:rFonts w:eastAsia="Times New Roman" w:cstheme="minorHAnsi"/>
          <w:sz w:val="24"/>
          <w:szCs w:val="24"/>
          <w:lang w:val="en-GB" w:eastAsia="fr-FR"/>
        </w:rPr>
        <w:t xml:space="preserve"> what we could call its “data catalogue”</w:t>
      </w:r>
    </w:p>
    <w:p w14:paraId="01BDE6B1" w14:textId="0AA621EA" w:rsidR="00224247" w:rsidRPr="0006268A" w:rsidRDefault="0006268A" w:rsidP="00953478">
      <w:pPr>
        <w:spacing w:before="100" w:beforeAutospacing="1" w:after="100" w:afterAutospacing="1" w:line="240" w:lineRule="auto"/>
        <w:jc w:val="both"/>
        <w:rPr>
          <w:rFonts w:eastAsia="Times New Roman" w:cstheme="minorHAnsi"/>
          <w:b/>
          <w:bCs/>
          <w:color w:val="FF0000"/>
          <w:sz w:val="24"/>
          <w:szCs w:val="24"/>
          <w:lang w:val="en-GB" w:eastAsia="fr-FR"/>
        </w:rPr>
      </w:pPr>
      <w:r w:rsidRPr="0006268A">
        <w:rPr>
          <w:rFonts w:eastAsia="Times New Roman" w:cstheme="minorHAnsi"/>
          <w:b/>
          <w:bCs/>
          <w:color w:val="FF0000"/>
          <w:sz w:val="24"/>
          <w:szCs w:val="24"/>
          <w:lang w:val="en-GB" w:eastAsia="fr-FR"/>
        </w:rPr>
        <w:t>5 -</w:t>
      </w:r>
      <w:r w:rsidR="00224247" w:rsidRPr="0006268A">
        <w:rPr>
          <w:rFonts w:eastAsia="Times New Roman" w:cstheme="minorHAnsi"/>
          <w:b/>
          <w:bCs/>
          <w:color w:val="FF0000"/>
          <w:sz w:val="24"/>
          <w:szCs w:val="24"/>
          <w:lang w:val="en-GB" w:eastAsia="fr-FR"/>
        </w:rPr>
        <w:t> Trial datasets</w:t>
      </w:r>
    </w:p>
    <w:p w14:paraId="6D47D4E3" w14:textId="33D1AA0F" w:rsidR="00224247"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b/>
          <w:bCs/>
          <w:sz w:val="24"/>
          <w:szCs w:val="24"/>
          <w:lang w:val="en-GB" w:eastAsia="fr-FR"/>
        </w:rPr>
        <w:t> </w:t>
      </w:r>
      <w:r w:rsidRPr="0079408D">
        <w:rPr>
          <w:rFonts w:eastAsia="Times New Roman" w:cstheme="minorHAnsi"/>
          <w:sz w:val="24"/>
          <w:szCs w:val="24"/>
          <w:lang w:val="en-GB" w:eastAsia="fr-FR"/>
        </w:rPr>
        <w:t xml:space="preserve">As making available the data catalogue described here above will already require an investment from the public body, we suggest to </w:t>
      </w:r>
      <w:proofErr w:type="gramStart"/>
      <w:r w:rsidRPr="0079408D">
        <w:rPr>
          <w:rFonts w:eastAsia="Times New Roman" w:cstheme="minorHAnsi"/>
          <w:sz w:val="24"/>
          <w:szCs w:val="24"/>
          <w:lang w:val="en-GB" w:eastAsia="fr-FR"/>
        </w:rPr>
        <w:t>first of all</w:t>
      </w:r>
      <w:proofErr w:type="gramEnd"/>
      <w:r w:rsidRPr="0079408D">
        <w:rPr>
          <w:rFonts w:eastAsia="Times New Roman" w:cstheme="minorHAnsi"/>
          <w:sz w:val="24"/>
          <w:szCs w:val="24"/>
          <w:lang w:val="en-GB" w:eastAsia="fr-FR"/>
        </w:rPr>
        <w:t xml:space="preserve"> provide a free trial dataset and a description of all fields available. If there are </w:t>
      </w:r>
      <w:r w:rsidR="00953478" w:rsidRPr="0079408D">
        <w:rPr>
          <w:rFonts w:eastAsia="Times New Roman" w:cstheme="minorHAnsi"/>
          <w:sz w:val="24"/>
          <w:szCs w:val="24"/>
          <w:lang w:val="en-GB" w:eastAsia="fr-FR"/>
        </w:rPr>
        <w:t xml:space="preserve">expressions of interest from </w:t>
      </w:r>
      <w:proofErr w:type="spellStart"/>
      <w:r w:rsidR="00953478" w:rsidRPr="0079408D">
        <w:rPr>
          <w:rFonts w:eastAsia="Times New Roman" w:cstheme="minorHAnsi"/>
          <w:sz w:val="24"/>
          <w:szCs w:val="24"/>
          <w:lang w:val="en-GB" w:eastAsia="fr-FR"/>
        </w:rPr>
        <w:t>re</w:t>
      </w:r>
      <w:r w:rsidRPr="0079408D">
        <w:rPr>
          <w:rFonts w:eastAsia="Times New Roman" w:cstheme="minorHAnsi"/>
          <w:sz w:val="24"/>
          <w:szCs w:val="24"/>
          <w:lang w:val="en-GB" w:eastAsia="fr-FR"/>
        </w:rPr>
        <w:t>users</w:t>
      </w:r>
      <w:proofErr w:type="spellEnd"/>
      <w:r w:rsidRPr="0079408D">
        <w:rPr>
          <w:rFonts w:eastAsia="Times New Roman" w:cstheme="minorHAnsi"/>
          <w:sz w:val="24"/>
          <w:szCs w:val="24"/>
          <w:lang w:val="en-GB" w:eastAsia="fr-FR"/>
        </w:rPr>
        <w:t xml:space="preserve"> (that should remain confidential), proving that there is an economic potential for one or more of the protected datasets, then, it will justify making costly developments for making data available with a high quality of service.</w:t>
      </w:r>
    </w:p>
    <w:p w14:paraId="77BEF855" w14:textId="3EE976FF" w:rsidR="00953478" w:rsidRPr="0006268A" w:rsidRDefault="0006268A" w:rsidP="00953478">
      <w:pPr>
        <w:spacing w:before="100" w:beforeAutospacing="1" w:after="100" w:afterAutospacing="1" w:line="240" w:lineRule="auto"/>
        <w:jc w:val="both"/>
        <w:rPr>
          <w:rFonts w:eastAsia="Times New Roman" w:cstheme="minorHAnsi"/>
          <w:color w:val="FF0000"/>
          <w:sz w:val="24"/>
          <w:szCs w:val="24"/>
          <w:lang w:val="en-GB" w:eastAsia="fr-FR"/>
        </w:rPr>
      </w:pPr>
      <w:r>
        <w:rPr>
          <w:rFonts w:eastAsia="Times New Roman" w:cstheme="minorHAnsi"/>
          <w:b/>
          <w:bCs/>
          <w:color w:val="FF0000"/>
          <w:sz w:val="24"/>
          <w:szCs w:val="24"/>
          <w:lang w:val="en-GB" w:eastAsia="fr-FR"/>
        </w:rPr>
        <w:t xml:space="preserve">6 - </w:t>
      </w:r>
      <w:r w:rsidR="00224247" w:rsidRPr="0006268A">
        <w:rPr>
          <w:rFonts w:eastAsia="Times New Roman" w:cstheme="minorHAnsi"/>
          <w:b/>
          <w:bCs/>
          <w:color w:val="FF0000"/>
          <w:sz w:val="24"/>
          <w:szCs w:val="24"/>
          <w:lang w:val="en-GB" w:eastAsia="fr-FR"/>
        </w:rPr>
        <w:t>Anonymisation: means and organisation required</w:t>
      </w:r>
    </w:p>
    <w:p w14:paraId="4E49E658" w14:textId="03082CC4"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 topic of anonymization / pseudonymization should be more precisely explained.</w:t>
      </w:r>
      <w:r w:rsidR="0006268A">
        <w:rPr>
          <w:rFonts w:eastAsia="Times New Roman" w:cstheme="minorHAnsi"/>
          <w:sz w:val="24"/>
          <w:szCs w:val="24"/>
          <w:lang w:val="en-GB" w:eastAsia="fr-FR"/>
        </w:rPr>
        <w:t xml:space="preserve"> </w:t>
      </w:r>
      <w:r w:rsidRPr="0079408D">
        <w:rPr>
          <w:rFonts w:eastAsia="Times New Roman" w:cstheme="minorHAnsi"/>
          <w:sz w:val="24"/>
          <w:szCs w:val="24"/>
          <w:lang w:val="en-GB" w:eastAsia="fr-FR"/>
        </w:rPr>
        <w:t>We understand from the point (3) of the article 5 that the public body could require from the re-users that they anonymise / pseudonymize the data or suppress some data.</w:t>
      </w:r>
    </w:p>
    <w:p w14:paraId="04168F1F"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When the point 2 of the article (7) lets us understand that anonymization / pseudonymization will be done by the public body.</w:t>
      </w:r>
    </w:p>
    <w:p w14:paraId="707D40DF" w14:textId="06FAE9C3"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In both cases, we suggest considering the possibility to have different anonymization levels according to the </w:t>
      </w:r>
      <w:proofErr w:type="gramStart"/>
      <w:r w:rsidRPr="0079408D">
        <w:rPr>
          <w:rFonts w:eastAsia="Times New Roman" w:cstheme="minorHAnsi"/>
          <w:sz w:val="24"/>
          <w:szCs w:val="24"/>
          <w:lang w:val="en-GB" w:eastAsia="fr-FR"/>
        </w:rPr>
        <w:t>end-users’</w:t>
      </w:r>
      <w:proofErr w:type="gramEnd"/>
      <w:r w:rsidRPr="0079408D">
        <w:rPr>
          <w:rFonts w:eastAsia="Times New Roman" w:cstheme="minorHAnsi"/>
          <w:sz w:val="24"/>
          <w:szCs w:val="24"/>
          <w:lang w:val="en-GB" w:eastAsia="fr-FR"/>
        </w:rPr>
        <w:t xml:space="preserve"> categories of the </w:t>
      </w:r>
      <w:proofErr w:type="spellStart"/>
      <w:r w:rsidRPr="0079408D">
        <w:rPr>
          <w:rFonts w:eastAsia="Times New Roman" w:cstheme="minorHAnsi"/>
          <w:sz w:val="24"/>
          <w:szCs w:val="24"/>
          <w:lang w:val="en-GB" w:eastAsia="fr-FR"/>
        </w:rPr>
        <w:t>reuser</w:t>
      </w:r>
      <w:proofErr w:type="spellEnd"/>
      <w:r w:rsidRPr="0079408D">
        <w:rPr>
          <w:rFonts w:eastAsia="Times New Roman" w:cstheme="minorHAnsi"/>
          <w:sz w:val="24"/>
          <w:szCs w:val="24"/>
          <w:lang w:val="en-GB" w:eastAsia="fr-FR"/>
        </w:rPr>
        <w:t xml:space="preserve"> and the purpose of reuse, that the public body will have to consider well in advance in the data production and distribution chain.</w:t>
      </w:r>
    </w:p>
    <w:p w14:paraId="102E9616" w14:textId="62E687F3"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 Except some very well-structured databases enabling a fully automated anonymization, a semi-manual anonymization is the rule at present time, which generates costs that are too often minimized or ignored. An “over-anonymisation” can also be required </w:t>
      </w:r>
      <w:r w:rsidRPr="0079408D">
        <w:rPr>
          <w:rFonts w:eastAsia="Times New Roman" w:cstheme="minorHAnsi"/>
          <w:i/>
          <w:iCs/>
          <w:sz w:val="24"/>
          <w:szCs w:val="24"/>
          <w:lang w:val="en-GB" w:eastAsia="fr-FR"/>
        </w:rPr>
        <w:t>a posteriori</w:t>
      </w:r>
      <w:r w:rsidRPr="0079408D">
        <w:rPr>
          <w:rFonts w:eastAsia="Times New Roman" w:cstheme="minorHAnsi"/>
          <w:sz w:val="24"/>
          <w:szCs w:val="24"/>
          <w:lang w:val="en-GB" w:eastAsia="fr-FR"/>
        </w:rPr>
        <w:t>, that requires the development of very specific workflows.</w:t>
      </w:r>
    </w:p>
    <w:p w14:paraId="66409332"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As the existing automatic anonymization is quite “binary”, the result is quite difficult to use as a lot of contextual information necessary to the correct understanding of transferred data has been lost.</w:t>
      </w:r>
    </w:p>
    <w:p w14:paraId="565BD0C3" w14:textId="40FA5243"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In order to achieve an anonymisation which is we</w:t>
      </w:r>
      <w:r w:rsidR="007A7848" w:rsidRPr="0079408D">
        <w:rPr>
          <w:rFonts w:eastAsia="Times New Roman" w:cstheme="minorHAnsi"/>
          <w:sz w:val="24"/>
          <w:szCs w:val="24"/>
          <w:lang w:val="en-GB" w:eastAsia="fr-FR"/>
        </w:rPr>
        <w:t>ll adapted to the purpose of re</w:t>
      </w:r>
      <w:r w:rsidRPr="0079408D">
        <w:rPr>
          <w:rFonts w:eastAsia="Times New Roman" w:cstheme="minorHAnsi"/>
          <w:sz w:val="24"/>
          <w:szCs w:val="24"/>
          <w:lang w:val="en-GB" w:eastAsia="fr-FR"/>
        </w:rPr>
        <w:t>use, it is then necessary to have well-developed anonymisation processes which can embark:</w:t>
      </w:r>
    </w:p>
    <w:p w14:paraId="1B649C63"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the tagging of data to be anonymised,</w:t>
      </w:r>
    </w:p>
    <w:p w14:paraId="7DD049BE"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programs enabling the management of differentiated anonymisation levels.</w:t>
      </w:r>
    </w:p>
    <w:p w14:paraId="3AA9FEAD" w14:textId="77777777" w:rsidR="00224247" w:rsidRPr="0079408D" w:rsidRDefault="00224247" w:rsidP="0006268A">
      <w:pPr>
        <w:spacing w:after="0"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Before launching any industrialization project for data anonymisation, it is essential to have well in advance:</w:t>
      </w:r>
    </w:p>
    <w:p w14:paraId="269C080B" w14:textId="77777777" w:rsidR="00224247" w:rsidRPr="0079408D" w:rsidRDefault="00224247" w:rsidP="0006268A">
      <w:pPr>
        <w:spacing w:after="0" w:line="240" w:lineRule="auto"/>
        <w:ind w:left="708"/>
        <w:jc w:val="both"/>
        <w:rPr>
          <w:rFonts w:eastAsia="Times New Roman" w:cstheme="minorHAnsi"/>
          <w:sz w:val="24"/>
          <w:szCs w:val="24"/>
          <w:lang w:val="en-GB" w:eastAsia="fr-FR"/>
        </w:rPr>
      </w:pPr>
      <w:r w:rsidRPr="0079408D">
        <w:rPr>
          <w:rFonts w:eastAsia="Times New Roman" w:cstheme="minorHAnsi"/>
          <w:sz w:val="24"/>
          <w:szCs w:val="24"/>
          <w:lang w:val="en-GB" w:eastAsia="fr-FR"/>
        </w:rPr>
        <w:t>- defined processes,</w:t>
      </w:r>
    </w:p>
    <w:p w14:paraId="4AED55A1" w14:textId="77777777" w:rsidR="00224247" w:rsidRPr="0079408D" w:rsidRDefault="00224247" w:rsidP="0006268A">
      <w:pPr>
        <w:spacing w:after="0" w:line="240" w:lineRule="auto"/>
        <w:ind w:left="708"/>
        <w:jc w:val="both"/>
        <w:rPr>
          <w:rFonts w:eastAsia="Times New Roman" w:cstheme="minorHAnsi"/>
          <w:sz w:val="24"/>
          <w:szCs w:val="24"/>
          <w:lang w:val="en-GB" w:eastAsia="fr-FR"/>
        </w:rPr>
      </w:pPr>
      <w:r w:rsidRPr="0079408D">
        <w:rPr>
          <w:rFonts w:eastAsia="Times New Roman" w:cstheme="minorHAnsi"/>
          <w:sz w:val="24"/>
          <w:szCs w:val="24"/>
          <w:lang w:val="en-GB" w:eastAsia="fr-FR"/>
        </w:rPr>
        <w:t>- identified the different anonymization levels</w:t>
      </w:r>
    </w:p>
    <w:p w14:paraId="0DFACDD8" w14:textId="77777777" w:rsidR="00224247" w:rsidRPr="0079408D" w:rsidRDefault="00224247" w:rsidP="0006268A">
      <w:pPr>
        <w:spacing w:after="0" w:line="240" w:lineRule="auto"/>
        <w:ind w:left="708"/>
        <w:jc w:val="both"/>
        <w:rPr>
          <w:rFonts w:eastAsia="Times New Roman" w:cstheme="minorHAnsi"/>
          <w:sz w:val="24"/>
          <w:szCs w:val="24"/>
          <w:lang w:val="en-GB" w:eastAsia="fr-FR"/>
        </w:rPr>
      </w:pPr>
      <w:r w:rsidRPr="0079408D">
        <w:rPr>
          <w:rFonts w:eastAsia="Times New Roman" w:cstheme="minorHAnsi"/>
          <w:sz w:val="24"/>
          <w:szCs w:val="24"/>
          <w:lang w:val="en-GB" w:eastAsia="fr-FR"/>
        </w:rPr>
        <w:t>- adjusted the anonymization algorithms</w:t>
      </w:r>
    </w:p>
    <w:p w14:paraId="69B78E77" w14:textId="77777777" w:rsidR="00224247" w:rsidRPr="0079408D" w:rsidRDefault="00224247" w:rsidP="0006268A">
      <w:pPr>
        <w:spacing w:after="0" w:line="240" w:lineRule="auto"/>
        <w:ind w:left="708"/>
        <w:jc w:val="both"/>
        <w:rPr>
          <w:rFonts w:eastAsia="Times New Roman" w:cstheme="minorHAnsi"/>
          <w:sz w:val="24"/>
          <w:szCs w:val="24"/>
          <w:lang w:val="en-GB" w:eastAsia="fr-FR"/>
        </w:rPr>
      </w:pPr>
      <w:r w:rsidRPr="0079408D">
        <w:rPr>
          <w:rFonts w:eastAsia="Times New Roman" w:cstheme="minorHAnsi"/>
          <w:sz w:val="24"/>
          <w:szCs w:val="24"/>
          <w:lang w:val="en-GB" w:eastAsia="fr-FR"/>
        </w:rPr>
        <w:t>- made the algorithms “run”</w:t>
      </w:r>
    </w:p>
    <w:p w14:paraId="41E15182" w14:textId="77777777" w:rsidR="00224247" w:rsidRPr="0079408D" w:rsidRDefault="00224247" w:rsidP="0006268A">
      <w:pPr>
        <w:spacing w:after="0" w:line="240" w:lineRule="auto"/>
        <w:ind w:left="708"/>
        <w:jc w:val="both"/>
        <w:rPr>
          <w:rFonts w:eastAsia="Times New Roman" w:cstheme="minorHAnsi"/>
          <w:sz w:val="24"/>
          <w:szCs w:val="24"/>
          <w:lang w:val="en-GB" w:eastAsia="fr-FR"/>
        </w:rPr>
      </w:pPr>
      <w:r w:rsidRPr="0079408D">
        <w:rPr>
          <w:rFonts w:eastAsia="Times New Roman" w:cstheme="minorHAnsi"/>
          <w:sz w:val="24"/>
          <w:szCs w:val="24"/>
          <w:lang w:val="en-GB" w:eastAsia="fr-FR"/>
        </w:rPr>
        <w:t>- control the results against expectations</w:t>
      </w:r>
    </w:p>
    <w:p w14:paraId="7C00BFBD" w14:textId="77777777" w:rsidR="00224247" w:rsidRPr="0079408D" w:rsidRDefault="00224247" w:rsidP="0006268A">
      <w:pPr>
        <w:spacing w:after="0"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This conception phase is key, before launching the developments.</w:t>
      </w:r>
    </w:p>
    <w:p w14:paraId="08298F98" w14:textId="7A019362" w:rsidR="0006268A" w:rsidRDefault="0006268A" w:rsidP="0006268A">
      <w:pPr>
        <w:spacing w:after="0" w:line="240" w:lineRule="auto"/>
        <w:jc w:val="both"/>
        <w:rPr>
          <w:rFonts w:eastAsia="Times New Roman" w:cstheme="minorHAnsi"/>
          <w:b/>
          <w:bCs/>
          <w:color w:val="FF0000"/>
          <w:sz w:val="24"/>
          <w:szCs w:val="24"/>
          <w:lang w:val="en-GB" w:eastAsia="fr-FR"/>
        </w:rPr>
      </w:pPr>
    </w:p>
    <w:p w14:paraId="7D20EFD9" w14:textId="77777777" w:rsidR="0032147E" w:rsidRDefault="0032147E" w:rsidP="0006268A">
      <w:pPr>
        <w:spacing w:after="0" w:line="240" w:lineRule="auto"/>
        <w:jc w:val="both"/>
        <w:rPr>
          <w:rFonts w:eastAsia="Times New Roman" w:cstheme="minorHAnsi"/>
          <w:b/>
          <w:bCs/>
          <w:color w:val="FF0000"/>
          <w:sz w:val="24"/>
          <w:szCs w:val="24"/>
          <w:lang w:val="en-GB" w:eastAsia="fr-FR"/>
        </w:rPr>
      </w:pPr>
    </w:p>
    <w:p w14:paraId="06DBA6B1" w14:textId="791D8915" w:rsidR="00224247" w:rsidRPr="0006268A" w:rsidRDefault="0006268A" w:rsidP="0006268A">
      <w:pPr>
        <w:spacing w:after="0" w:line="240" w:lineRule="auto"/>
        <w:jc w:val="both"/>
        <w:rPr>
          <w:rFonts w:eastAsia="Times New Roman" w:cstheme="minorHAnsi"/>
          <w:color w:val="FF0000"/>
          <w:sz w:val="24"/>
          <w:szCs w:val="24"/>
          <w:lang w:val="en-GB" w:eastAsia="fr-FR"/>
        </w:rPr>
      </w:pPr>
      <w:r>
        <w:rPr>
          <w:rFonts w:eastAsia="Times New Roman" w:cstheme="minorHAnsi"/>
          <w:b/>
          <w:bCs/>
          <w:color w:val="FF0000"/>
          <w:sz w:val="24"/>
          <w:szCs w:val="24"/>
          <w:lang w:val="en-GB" w:eastAsia="fr-FR"/>
        </w:rPr>
        <w:t xml:space="preserve">7 - </w:t>
      </w:r>
      <w:r w:rsidR="00224247" w:rsidRPr="0006268A">
        <w:rPr>
          <w:rFonts w:eastAsia="Times New Roman" w:cstheme="minorHAnsi"/>
          <w:b/>
          <w:bCs/>
          <w:color w:val="FF0000"/>
          <w:sz w:val="24"/>
          <w:szCs w:val="24"/>
          <w:lang w:val="en-GB" w:eastAsia="fr-FR"/>
        </w:rPr>
        <w:t>Verification of results of data proce</w:t>
      </w:r>
      <w:r w:rsidR="007A7848" w:rsidRPr="0006268A">
        <w:rPr>
          <w:rFonts w:eastAsia="Times New Roman" w:cstheme="minorHAnsi"/>
          <w:b/>
          <w:bCs/>
          <w:color w:val="FF0000"/>
          <w:sz w:val="24"/>
          <w:szCs w:val="24"/>
          <w:lang w:val="en-GB" w:eastAsia="fr-FR"/>
        </w:rPr>
        <w:t xml:space="preserve">ssing undertaken by the </w:t>
      </w:r>
      <w:proofErr w:type="spellStart"/>
      <w:r w:rsidR="007A7848" w:rsidRPr="0006268A">
        <w:rPr>
          <w:rFonts w:eastAsia="Times New Roman" w:cstheme="minorHAnsi"/>
          <w:b/>
          <w:bCs/>
          <w:color w:val="FF0000"/>
          <w:sz w:val="24"/>
          <w:szCs w:val="24"/>
          <w:lang w:val="en-GB" w:eastAsia="fr-FR"/>
        </w:rPr>
        <w:t>re</w:t>
      </w:r>
      <w:r w:rsidR="00224247" w:rsidRPr="0006268A">
        <w:rPr>
          <w:rFonts w:eastAsia="Times New Roman" w:cstheme="minorHAnsi"/>
          <w:b/>
          <w:bCs/>
          <w:color w:val="FF0000"/>
          <w:sz w:val="24"/>
          <w:szCs w:val="24"/>
          <w:lang w:val="en-GB" w:eastAsia="fr-FR"/>
        </w:rPr>
        <w:t>user</w:t>
      </w:r>
      <w:proofErr w:type="spellEnd"/>
    </w:p>
    <w:p w14:paraId="33967785"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 point (</w:t>
      </w:r>
      <w:r w:rsidR="007A7848" w:rsidRPr="0079408D">
        <w:rPr>
          <w:rFonts w:eastAsia="Times New Roman" w:cstheme="minorHAnsi"/>
          <w:sz w:val="24"/>
          <w:szCs w:val="24"/>
          <w:lang w:val="en-GB" w:eastAsia="fr-FR"/>
        </w:rPr>
        <w:t xml:space="preserve">5) of article 5 provides </w:t>
      </w:r>
      <w:proofErr w:type="spellStart"/>
      <w:r w:rsidR="007A7848" w:rsidRPr="0079408D">
        <w:rPr>
          <w:rFonts w:eastAsia="Times New Roman" w:cstheme="minorHAnsi"/>
          <w:sz w:val="24"/>
          <w:szCs w:val="24"/>
          <w:lang w:val="en-GB" w:eastAsia="fr-FR"/>
        </w:rPr>
        <w:t>that:”</w:t>
      </w:r>
      <w:r w:rsidRPr="0079408D">
        <w:rPr>
          <w:rFonts w:eastAsia="Times New Roman" w:cstheme="minorHAnsi"/>
          <w:i/>
          <w:sz w:val="24"/>
          <w:szCs w:val="24"/>
          <w:lang w:val="en-GB" w:eastAsia="fr-FR"/>
        </w:rPr>
        <w:t>The</w:t>
      </w:r>
      <w:proofErr w:type="spellEnd"/>
      <w:r w:rsidRPr="0079408D">
        <w:rPr>
          <w:rFonts w:eastAsia="Times New Roman" w:cstheme="minorHAnsi"/>
          <w:i/>
          <w:sz w:val="24"/>
          <w:szCs w:val="24"/>
          <w:lang w:val="en-GB" w:eastAsia="fr-FR"/>
        </w:rPr>
        <w:t xml:space="preserve"> public sector body shall be able to verify any results of processing of data undertaken by the re-user and reserve the right to prohibit the use of results that contain information jeopardising the rights and interests of third parties</w:t>
      </w:r>
      <w:r w:rsidRPr="0079408D">
        <w:rPr>
          <w:rFonts w:eastAsia="Times New Roman" w:cstheme="minorHAnsi"/>
          <w:sz w:val="24"/>
          <w:szCs w:val="24"/>
          <w:lang w:val="en-GB" w:eastAsia="fr-FR"/>
        </w:rPr>
        <w:t>”. According to what has been described here above, it will be necessary to explain what may be the terms of these controls.</w:t>
      </w:r>
    </w:p>
    <w:p w14:paraId="2E73EB08" w14:textId="739E5688" w:rsidR="00224247" w:rsidRPr="0006268A" w:rsidRDefault="0006268A" w:rsidP="00953478">
      <w:pPr>
        <w:spacing w:before="100" w:beforeAutospacing="1" w:after="100" w:afterAutospacing="1" w:line="240" w:lineRule="auto"/>
        <w:jc w:val="both"/>
        <w:rPr>
          <w:rFonts w:eastAsia="Times New Roman" w:cstheme="minorHAnsi"/>
          <w:b/>
          <w:bCs/>
          <w:color w:val="FF0000"/>
          <w:sz w:val="24"/>
          <w:szCs w:val="24"/>
          <w:lang w:val="en-GB" w:eastAsia="fr-FR"/>
        </w:rPr>
      </w:pPr>
      <w:r w:rsidRPr="0006268A">
        <w:rPr>
          <w:rFonts w:eastAsia="Times New Roman" w:cstheme="minorHAnsi"/>
          <w:b/>
          <w:bCs/>
          <w:color w:val="FF0000"/>
          <w:sz w:val="24"/>
          <w:szCs w:val="24"/>
          <w:lang w:val="en-GB" w:eastAsia="fr-FR"/>
        </w:rPr>
        <w:t xml:space="preserve">8 - </w:t>
      </w:r>
      <w:r w:rsidR="00224247" w:rsidRPr="0006268A">
        <w:rPr>
          <w:rFonts w:eastAsia="Times New Roman" w:cstheme="minorHAnsi"/>
          <w:b/>
          <w:bCs/>
          <w:color w:val="FF0000"/>
          <w:sz w:val="24"/>
          <w:szCs w:val="24"/>
          <w:lang w:val="en-GB" w:eastAsia="fr-FR"/>
        </w:rPr>
        <w:t>Article 7</w:t>
      </w:r>
    </w:p>
    <w:p w14:paraId="63865E7C" w14:textId="2999A68B"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b/>
          <w:bCs/>
          <w:sz w:val="24"/>
          <w:szCs w:val="24"/>
          <w:lang w:val="en-GB" w:eastAsia="fr-FR"/>
        </w:rPr>
        <w:t> </w:t>
      </w:r>
      <w:r w:rsidRPr="0079408D">
        <w:rPr>
          <w:rFonts w:eastAsia="Times New Roman" w:cstheme="minorHAnsi"/>
          <w:sz w:val="24"/>
          <w:szCs w:val="24"/>
          <w:lang w:val="en-GB" w:eastAsia="fr-FR"/>
        </w:rPr>
        <w:t xml:space="preserve">We suggest having one competent body only in each Member State. Each public body intending to make protected data available for re-use should work first with this competent body, in order to capitalize on other experiences. </w:t>
      </w:r>
    </w:p>
    <w:p w14:paraId="34E3AA17" w14:textId="425FEB13" w:rsidR="00224247" w:rsidRPr="0006268A" w:rsidRDefault="0006268A" w:rsidP="00953478">
      <w:pPr>
        <w:spacing w:before="100" w:beforeAutospacing="1" w:after="100" w:afterAutospacing="1" w:line="240" w:lineRule="auto"/>
        <w:jc w:val="both"/>
        <w:rPr>
          <w:rFonts w:eastAsia="Times New Roman" w:cstheme="minorHAnsi"/>
          <w:color w:val="FF0000"/>
          <w:sz w:val="24"/>
          <w:szCs w:val="24"/>
          <w:lang w:val="en-GB" w:eastAsia="fr-FR"/>
        </w:rPr>
      </w:pPr>
      <w:r w:rsidRPr="0006268A">
        <w:rPr>
          <w:rFonts w:eastAsia="Times New Roman" w:cstheme="minorHAnsi"/>
          <w:b/>
          <w:bCs/>
          <w:color w:val="FF0000"/>
          <w:sz w:val="24"/>
          <w:szCs w:val="24"/>
          <w:lang w:val="en-GB" w:eastAsia="fr-FR"/>
        </w:rPr>
        <w:t xml:space="preserve">9 - </w:t>
      </w:r>
      <w:r w:rsidR="00224247" w:rsidRPr="0006268A">
        <w:rPr>
          <w:rFonts w:eastAsia="Times New Roman" w:cstheme="minorHAnsi"/>
          <w:b/>
          <w:bCs/>
          <w:color w:val="FF0000"/>
          <w:sz w:val="24"/>
          <w:szCs w:val="24"/>
          <w:lang w:val="en-GB" w:eastAsia="fr-FR"/>
        </w:rPr>
        <w:t>Article 8</w:t>
      </w:r>
    </w:p>
    <w:p w14:paraId="1D01158A"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We support the idea of a single information point, which should be consulted by each re-user and where the data catalogue described here above should be available. </w:t>
      </w:r>
    </w:p>
    <w:p w14:paraId="4DA41929"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But granting access or not, which should be duly motivated, should remain in the hands of the public body holding the protected data.</w:t>
      </w:r>
    </w:p>
    <w:p w14:paraId="2B66256B"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Public resources, and not only fees, will be necessary for enabling public bodies as well as the competent body to make protected data available, as legal and technical requirements will be </w:t>
      </w:r>
      <w:r w:rsidRPr="0079408D">
        <w:rPr>
          <w:rFonts w:eastAsia="Times New Roman" w:cstheme="minorHAnsi"/>
          <w:i/>
          <w:iCs/>
          <w:sz w:val="24"/>
          <w:szCs w:val="24"/>
          <w:lang w:val="en-GB" w:eastAsia="fr-FR"/>
        </w:rPr>
        <w:t>de facto</w:t>
      </w:r>
      <w:r w:rsidRPr="0079408D">
        <w:rPr>
          <w:rFonts w:eastAsia="Times New Roman" w:cstheme="minorHAnsi"/>
          <w:sz w:val="24"/>
          <w:szCs w:val="24"/>
          <w:lang w:val="en-GB" w:eastAsia="fr-FR"/>
        </w:rPr>
        <w:t xml:space="preserve"> stricter than the ones for open Public Sector Information.</w:t>
      </w:r>
    </w:p>
    <w:p w14:paraId="08B64674" w14:textId="5BB530D6"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Like the latter, the quality of data (all meanings of the word) that will be made available is key.</w:t>
      </w:r>
    </w:p>
    <w:p w14:paraId="53B975AE"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As a matter of fact, start-ups as well as businesses existing for a long time cannot develop projects or new services based on data if the availability continuity is not confirmed by the public body and the essential qualities are not maintained, not to say improved, including in terms of technical access.</w:t>
      </w:r>
    </w:p>
    <w:p w14:paraId="30A7FEDB" w14:textId="77777777" w:rsidR="0032147E" w:rsidRDefault="0032147E" w:rsidP="00953478">
      <w:pPr>
        <w:spacing w:before="100" w:beforeAutospacing="1" w:after="100" w:afterAutospacing="1" w:line="240" w:lineRule="auto"/>
        <w:jc w:val="both"/>
        <w:rPr>
          <w:rFonts w:eastAsia="Times New Roman" w:cstheme="minorHAnsi"/>
          <w:b/>
          <w:bCs/>
          <w:color w:val="000000" w:themeColor="text1"/>
          <w:sz w:val="28"/>
          <w:szCs w:val="28"/>
          <w:u w:val="single"/>
          <w:lang w:val="en-GB" w:eastAsia="fr-FR"/>
        </w:rPr>
      </w:pPr>
    </w:p>
    <w:p w14:paraId="0CE46E21" w14:textId="04A7B3C3" w:rsidR="00224247" w:rsidRPr="0006268A" w:rsidRDefault="00224247" w:rsidP="00953478">
      <w:pPr>
        <w:spacing w:before="100" w:beforeAutospacing="1" w:after="100" w:afterAutospacing="1" w:line="240" w:lineRule="auto"/>
        <w:jc w:val="both"/>
        <w:rPr>
          <w:rFonts w:eastAsia="Times New Roman" w:cstheme="minorHAnsi"/>
          <w:color w:val="000000" w:themeColor="text1"/>
          <w:sz w:val="28"/>
          <w:szCs w:val="28"/>
          <w:u w:val="single"/>
          <w:lang w:val="en-GB" w:eastAsia="fr-FR"/>
        </w:rPr>
      </w:pPr>
      <w:r w:rsidRPr="0006268A">
        <w:rPr>
          <w:rFonts w:eastAsia="Times New Roman" w:cstheme="minorHAnsi"/>
          <w:b/>
          <w:bCs/>
          <w:color w:val="000000" w:themeColor="text1"/>
          <w:sz w:val="28"/>
          <w:szCs w:val="28"/>
          <w:u w:val="single"/>
          <w:lang w:val="en-GB" w:eastAsia="fr-FR"/>
        </w:rPr>
        <w:t>2 - Data sharing services (chapter III of the draft DGA)</w:t>
      </w:r>
    </w:p>
    <w:p w14:paraId="6567F7F8" w14:textId="3F601222"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b/>
          <w:bCs/>
          <w:sz w:val="24"/>
          <w:szCs w:val="24"/>
          <w:lang w:val="en-GB" w:eastAsia="fr-FR"/>
        </w:rPr>
        <w:t> </w:t>
      </w:r>
      <w:r w:rsidRPr="0079408D">
        <w:rPr>
          <w:rFonts w:eastAsia="Times New Roman" w:cstheme="minorHAnsi"/>
          <w:sz w:val="24"/>
          <w:szCs w:val="24"/>
          <w:lang w:val="en-GB" w:eastAsia="fr-FR"/>
        </w:rPr>
        <w:t>If noticed well, no mention is made on the fact that data sharing service providers will have to be remunerated.</w:t>
      </w:r>
      <w:r w:rsidR="0032147E">
        <w:rPr>
          <w:rFonts w:eastAsia="Times New Roman" w:cstheme="minorHAnsi"/>
          <w:sz w:val="24"/>
          <w:szCs w:val="24"/>
          <w:lang w:val="en-GB" w:eastAsia="fr-FR"/>
        </w:rPr>
        <w:t xml:space="preserve"> </w:t>
      </w:r>
      <w:r w:rsidRPr="0079408D">
        <w:rPr>
          <w:rFonts w:eastAsia="Times New Roman" w:cstheme="minorHAnsi"/>
          <w:sz w:val="24"/>
          <w:szCs w:val="24"/>
          <w:lang w:val="en-GB" w:eastAsia="fr-FR"/>
        </w:rPr>
        <w:t>Maybe should it be specified that it is / will be a “commercial” service that will have to be paid by the data holder and/or re-user.</w:t>
      </w:r>
    </w:p>
    <w:p w14:paraId="60A0DA0E" w14:textId="37E8E82F" w:rsidR="00224247"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We suggest specifying that it will be a regulated activity.</w:t>
      </w:r>
    </w:p>
    <w:p w14:paraId="15DA39AF" w14:textId="53378368" w:rsidR="00224247" w:rsidRPr="00D42BE6" w:rsidRDefault="00D42BE6" w:rsidP="00953478">
      <w:pPr>
        <w:spacing w:before="100" w:beforeAutospacing="1" w:after="100" w:afterAutospacing="1" w:line="240" w:lineRule="auto"/>
        <w:jc w:val="both"/>
        <w:rPr>
          <w:rFonts w:eastAsia="Times New Roman" w:cstheme="minorHAnsi"/>
          <w:b/>
          <w:bCs/>
          <w:color w:val="FF0000"/>
          <w:sz w:val="24"/>
          <w:szCs w:val="24"/>
          <w:lang w:val="en-GB" w:eastAsia="fr-FR"/>
        </w:rPr>
      </w:pPr>
      <w:r w:rsidRPr="00D42BE6">
        <w:rPr>
          <w:rFonts w:eastAsia="Times New Roman" w:cstheme="minorHAnsi"/>
          <w:b/>
          <w:bCs/>
          <w:color w:val="FF0000"/>
          <w:sz w:val="24"/>
          <w:szCs w:val="24"/>
          <w:lang w:val="en-GB" w:eastAsia="fr-FR"/>
        </w:rPr>
        <w:t xml:space="preserve">1 </w:t>
      </w:r>
      <w:proofErr w:type="gramStart"/>
      <w:r w:rsidRPr="00D42BE6">
        <w:rPr>
          <w:rFonts w:eastAsia="Times New Roman" w:cstheme="minorHAnsi"/>
          <w:b/>
          <w:bCs/>
          <w:color w:val="FF0000"/>
          <w:sz w:val="24"/>
          <w:szCs w:val="24"/>
          <w:lang w:val="en-GB" w:eastAsia="fr-FR"/>
        </w:rPr>
        <w:t xml:space="preserve">- </w:t>
      </w:r>
      <w:r w:rsidR="00224247" w:rsidRPr="00D42BE6">
        <w:rPr>
          <w:rFonts w:eastAsia="Times New Roman" w:cstheme="minorHAnsi"/>
          <w:b/>
          <w:bCs/>
          <w:color w:val="FF0000"/>
          <w:sz w:val="24"/>
          <w:szCs w:val="24"/>
          <w:lang w:val="en-GB" w:eastAsia="fr-FR"/>
        </w:rPr>
        <w:t> Intermediation</w:t>
      </w:r>
      <w:proofErr w:type="gramEnd"/>
      <w:r w:rsidR="00224247" w:rsidRPr="00D42BE6">
        <w:rPr>
          <w:rFonts w:eastAsia="Times New Roman" w:cstheme="minorHAnsi"/>
          <w:b/>
          <w:bCs/>
          <w:color w:val="FF0000"/>
          <w:sz w:val="24"/>
          <w:szCs w:val="24"/>
          <w:lang w:val="en-GB" w:eastAsia="fr-FR"/>
        </w:rPr>
        <w:t xml:space="preserve"> services between data holders who are legal persons and potential data users – </w:t>
      </w:r>
      <w:proofErr w:type="spellStart"/>
      <w:r w:rsidR="00224247" w:rsidRPr="00D42BE6">
        <w:rPr>
          <w:rFonts w:eastAsia="Times New Roman" w:cstheme="minorHAnsi"/>
          <w:b/>
          <w:bCs/>
          <w:color w:val="FF0000"/>
          <w:sz w:val="24"/>
          <w:szCs w:val="24"/>
          <w:lang w:val="en-GB" w:eastAsia="fr-FR"/>
        </w:rPr>
        <w:t>BtoB</w:t>
      </w:r>
      <w:proofErr w:type="spellEnd"/>
      <w:r w:rsidR="00224247" w:rsidRPr="00D42BE6">
        <w:rPr>
          <w:rFonts w:eastAsia="Times New Roman" w:cstheme="minorHAnsi"/>
          <w:b/>
          <w:bCs/>
          <w:color w:val="FF0000"/>
          <w:sz w:val="24"/>
          <w:szCs w:val="24"/>
          <w:lang w:val="en-GB" w:eastAsia="fr-FR"/>
        </w:rPr>
        <w:t xml:space="preserve"> data sharing</w:t>
      </w:r>
    </w:p>
    <w:p w14:paraId="4D32E48B" w14:textId="6F17EF0B"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The GFII strongly supports this proposal.</w:t>
      </w:r>
      <w:r w:rsidR="00925509">
        <w:rPr>
          <w:rFonts w:eastAsia="Times New Roman" w:cstheme="minorHAnsi"/>
          <w:sz w:val="24"/>
          <w:szCs w:val="24"/>
          <w:lang w:val="en-GB" w:eastAsia="fr-FR"/>
        </w:rPr>
        <w:t xml:space="preserve"> </w:t>
      </w:r>
      <w:r w:rsidRPr="0079408D">
        <w:rPr>
          <w:rFonts w:eastAsia="Times New Roman" w:cstheme="minorHAnsi"/>
          <w:sz w:val="24"/>
          <w:szCs w:val="24"/>
          <w:lang w:val="en-GB" w:eastAsia="fr-FR"/>
        </w:rPr>
        <w:t xml:space="preserve">It is essential to recall that, for protected Public Sector Information as well as for </w:t>
      </w:r>
      <w:proofErr w:type="spellStart"/>
      <w:r w:rsidRPr="0079408D">
        <w:rPr>
          <w:rFonts w:eastAsia="Times New Roman" w:cstheme="minorHAnsi"/>
          <w:sz w:val="24"/>
          <w:szCs w:val="24"/>
          <w:lang w:val="en-GB" w:eastAsia="fr-FR"/>
        </w:rPr>
        <w:t>BtoB</w:t>
      </w:r>
      <w:proofErr w:type="spellEnd"/>
      <w:r w:rsidRPr="0079408D">
        <w:rPr>
          <w:rFonts w:eastAsia="Times New Roman" w:cstheme="minorHAnsi"/>
          <w:sz w:val="24"/>
          <w:szCs w:val="24"/>
          <w:lang w:val="en-GB" w:eastAsia="fr-FR"/>
        </w:rPr>
        <w:t xml:space="preserve"> data sharing, access and re-use of data by the re-user does not mean necessarily display “in clear” by the latter.</w:t>
      </w:r>
    </w:p>
    <w:p w14:paraId="1DFBEB72" w14:textId="77777777" w:rsidR="00925509"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Data can feed algorithms without being displayed as raw data.</w:t>
      </w:r>
      <w:r w:rsidR="00925509">
        <w:rPr>
          <w:rFonts w:eastAsia="Times New Roman" w:cstheme="minorHAnsi"/>
          <w:sz w:val="24"/>
          <w:szCs w:val="24"/>
          <w:lang w:val="en-GB" w:eastAsia="fr-FR"/>
        </w:rPr>
        <w:t xml:space="preserve"> </w:t>
      </w:r>
    </w:p>
    <w:p w14:paraId="26F22249" w14:textId="64842DA8"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We agree that the activity of “data sharing service provider” should be separated from other activities, in order to avoid potential conflicts of interest.</w:t>
      </w:r>
    </w:p>
    <w:p w14:paraId="2F7BD466" w14:textId="310C7D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We understand from article 9 that the data sharing service provider will also have to provide technical means and skills to make holders’ data available.</w:t>
      </w:r>
    </w:p>
    <w:p w14:paraId="3C900F97" w14:textId="1A754BA4"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From our point of view, it is essential. As a matter of </w:t>
      </w:r>
      <w:proofErr w:type="gramStart"/>
      <w:r w:rsidRPr="0079408D">
        <w:rPr>
          <w:rFonts w:eastAsia="Times New Roman" w:cstheme="minorHAnsi"/>
          <w:sz w:val="24"/>
          <w:szCs w:val="24"/>
          <w:lang w:val="en-GB" w:eastAsia="fr-FR"/>
        </w:rPr>
        <w:t>fact,  making</w:t>
      </w:r>
      <w:proofErr w:type="gramEnd"/>
      <w:r w:rsidRPr="0079408D">
        <w:rPr>
          <w:rFonts w:eastAsia="Times New Roman" w:cstheme="minorHAnsi"/>
          <w:sz w:val="24"/>
          <w:szCs w:val="24"/>
          <w:lang w:val="en-GB" w:eastAsia="fr-FR"/>
        </w:rPr>
        <w:t xml:space="preserve"> high quality data available for re-use requires very often some data cleaning / reformatting as well as the conception of the documentation (file structure, fields, format, definitions …).</w:t>
      </w:r>
    </w:p>
    <w:p w14:paraId="7DB2F915"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That said, this work, that </w:t>
      </w:r>
      <w:r w:rsidRPr="0079408D">
        <w:rPr>
          <w:rFonts w:eastAsia="Times New Roman" w:cstheme="minorHAnsi"/>
          <w:i/>
          <w:iCs/>
          <w:sz w:val="24"/>
          <w:szCs w:val="24"/>
          <w:lang w:val="en-GB" w:eastAsia="fr-FR"/>
        </w:rPr>
        <w:t xml:space="preserve">must </w:t>
      </w:r>
      <w:r w:rsidRPr="0079408D">
        <w:rPr>
          <w:rFonts w:eastAsia="Times New Roman" w:cstheme="minorHAnsi"/>
          <w:sz w:val="24"/>
          <w:szCs w:val="24"/>
          <w:lang w:val="en-GB" w:eastAsia="fr-FR"/>
        </w:rPr>
        <w:t>be done, may generate a kind of loss of rights for the data holder as the data sharing service provider will have provided an essential technical value to the holder’s data “usability”.</w:t>
      </w:r>
    </w:p>
    <w:p w14:paraId="6C6A7729" w14:textId="35550C79"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That is why  requiring from the data sharing service provider to “convert the data into specific formats </w:t>
      </w:r>
      <w:r w:rsidRPr="0079408D">
        <w:rPr>
          <w:rFonts w:eastAsia="Times New Roman" w:cstheme="minorHAnsi"/>
          <w:i/>
          <w:iCs/>
          <w:sz w:val="24"/>
          <w:szCs w:val="24"/>
          <w:lang w:val="en-GB" w:eastAsia="fr-FR"/>
        </w:rPr>
        <w:t>only</w:t>
      </w:r>
      <w:r w:rsidRPr="0079408D">
        <w:rPr>
          <w:rFonts w:eastAsia="Times New Roman" w:cstheme="minorHAnsi"/>
          <w:sz w:val="24"/>
          <w:szCs w:val="24"/>
          <w:lang w:val="en-GB" w:eastAsia="fr-FR"/>
        </w:rPr>
        <w:t xml:space="preserve"> to enhance interoperability within and across sectors or if requested by the data user or where mandated by Union law or to ensure harmonisation with international or European data standards” is quite limitative from our point of view.</w:t>
      </w:r>
    </w:p>
    <w:p w14:paraId="4B6A4EA3"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 point (6) from the article 11 is key. No re-user will make developments without guarantees on that particular topic.</w:t>
      </w:r>
    </w:p>
    <w:p w14:paraId="4857AF09"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Please note that insolvency is not the only case that may be a “continuity breach”. If a dataset is not available anymore, if the maintenance is not well done, if APIs cannot manage all requests are other examples of potential “continuity breach”.</w:t>
      </w:r>
    </w:p>
    <w:p w14:paraId="66E2D4B8"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 point (7) from article 11 seems to us too concise according to the concrete requirements the data sharing service provider will have to comply with. These requirements should be more precisely described in order for the data sharing service provider not to underestimate them. They should also be very well explained in order for non-legal experts to perfectly understand them.</w:t>
      </w:r>
    </w:p>
    <w:p w14:paraId="270778A1"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 point (10) of article 11 seems to be dedicated to data cooperatives and it should be specified;</w:t>
      </w:r>
    </w:p>
    <w:p w14:paraId="1F9611B0" w14:textId="47360962"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For data sharing services too, we suggest having one competent authority only in each Member State.</w:t>
      </w:r>
    </w:p>
    <w:p w14:paraId="5B315C83"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It will enable to have a complete view of the data sharing service providers and to work with other competent authorities like the DPA etc.</w:t>
      </w:r>
    </w:p>
    <w:p w14:paraId="0FB6E3B0"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It will be necessary for this competent authority to have legal and technical expertise. </w:t>
      </w:r>
    </w:p>
    <w:p w14:paraId="7C9DC9B4" w14:textId="3F1FB254" w:rsidR="002F0A00" w:rsidRPr="0006268A" w:rsidRDefault="00925509" w:rsidP="00953478">
      <w:pPr>
        <w:spacing w:before="100" w:beforeAutospacing="1" w:after="100" w:afterAutospacing="1" w:line="240" w:lineRule="auto"/>
        <w:jc w:val="both"/>
        <w:rPr>
          <w:rFonts w:eastAsia="Times New Roman" w:cstheme="minorHAnsi"/>
          <w:b/>
          <w:bCs/>
          <w:color w:val="FF0000"/>
          <w:sz w:val="24"/>
          <w:szCs w:val="24"/>
          <w:lang w:val="en-GB" w:eastAsia="fr-FR"/>
        </w:rPr>
      </w:pPr>
      <w:r>
        <w:rPr>
          <w:rFonts w:eastAsia="Times New Roman" w:cstheme="minorHAnsi"/>
          <w:b/>
          <w:bCs/>
          <w:color w:val="FF0000"/>
          <w:sz w:val="24"/>
          <w:szCs w:val="24"/>
          <w:lang w:val="en-GB" w:eastAsia="fr-FR"/>
        </w:rPr>
        <w:t xml:space="preserve">2 </w:t>
      </w:r>
      <w:r w:rsidR="0006268A" w:rsidRPr="0006268A">
        <w:rPr>
          <w:rFonts w:eastAsia="Times New Roman" w:cstheme="minorHAnsi"/>
          <w:b/>
          <w:bCs/>
          <w:color w:val="FF0000"/>
          <w:sz w:val="24"/>
          <w:szCs w:val="24"/>
          <w:lang w:val="en-GB" w:eastAsia="fr-FR"/>
        </w:rPr>
        <w:t xml:space="preserve">- </w:t>
      </w:r>
      <w:r w:rsidR="00224247" w:rsidRPr="0006268A">
        <w:rPr>
          <w:rFonts w:eastAsia="Times New Roman" w:cstheme="minorHAnsi"/>
          <w:b/>
          <w:bCs/>
          <w:color w:val="FF0000"/>
          <w:sz w:val="24"/>
          <w:szCs w:val="24"/>
          <w:lang w:val="en-GB" w:eastAsia="fr-FR"/>
        </w:rPr>
        <w:t>Data cooperatives</w:t>
      </w:r>
    </w:p>
    <w:p w14:paraId="4C5006AF" w14:textId="77777777" w:rsidR="002F0A00"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The present definition provided in the point (c) of article 11 seems to be the one of a legal </w:t>
      </w:r>
      <w:proofErr w:type="gramStart"/>
      <w:r w:rsidRPr="0079408D">
        <w:rPr>
          <w:rFonts w:eastAsia="Times New Roman" w:cstheme="minorHAnsi"/>
          <w:sz w:val="24"/>
          <w:szCs w:val="24"/>
          <w:lang w:val="en-GB" w:eastAsia="fr-FR"/>
        </w:rPr>
        <w:t>adviser</w:t>
      </w:r>
      <w:proofErr w:type="gramEnd"/>
      <w:r w:rsidRPr="0079408D">
        <w:rPr>
          <w:rFonts w:eastAsia="Times New Roman" w:cstheme="minorHAnsi"/>
          <w:sz w:val="24"/>
          <w:szCs w:val="24"/>
          <w:lang w:val="en-GB" w:eastAsia="fr-FR"/>
        </w:rPr>
        <w:t>.</w:t>
      </w:r>
    </w:p>
    <w:p w14:paraId="351D5100" w14:textId="542A524A"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If well understood, data cooperatives should be a kind of legal “go between” between data holders being data subjects, one-person companies or micro, small and medium-sized enterprises and data sharing service providers</w:t>
      </w:r>
    </w:p>
    <w:p w14:paraId="40B93648" w14:textId="76A3D265"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Then, we suggest dedicating one article to data cooperatives.</w:t>
      </w:r>
    </w:p>
    <w:p w14:paraId="1C64345C" w14:textId="7B53C89C" w:rsidR="002F0A00" w:rsidRPr="00925509" w:rsidRDefault="00224247" w:rsidP="00953478">
      <w:pPr>
        <w:spacing w:before="100" w:beforeAutospacing="1" w:after="100" w:afterAutospacing="1" w:line="240" w:lineRule="auto"/>
        <w:jc w:val="both"/>
        <w:rPr>
          <w:rFonts w:eastAsia="Times New Roman" w:cstheme="minorHAnsi"/>
          <w:color w:val="FF0000"/>
          <w:sz w:val="24"/>
          <w:szCs w:val="24"/>
          <w:lang w:val="en-GB" w:eastAsia="fr-FR"/>
        </w:rPr>
      </w:pPr>
      <w:r w:rsidRPr="00925509">
        <w:rPr>
          <w:rFonts w:eastAsia="Times New Roman" w:cstheme="minorHAnsi"/>
          <w:b/>
          <w:bCs/>
          <w:color w:val="FF0000"/>
          <w:sz w:val="24"/>
          <w:szCs w:val="24"/>
          <w:lang w:val="en-GB" w:eastAsia="fr-FR"/>
        </w:rPr>
        <w:t>3. Data altruism (chapter IV of the draft DGA)</w:t>
      </w:r>
    </w:p>
    <w:p w14:paraId="777758FC" w14:textId="2E6DC09B" w:rsidR="002F0A00" w:rsidRPr="0079408D" w:rsidRDefault="00224247" w:rsidP="0025331D">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The article 16 refers to the “general interest”, which – to our knowledge – is not defined. </w:t>
      </w:r>
      <w:r w:rsidR="00925509">
        <w:rPr>
          <w:rFonts w:eastAsia="Times New Roman" w:cstheme="minorHAnsi"/>
          <w:sz w:val="24"/>
          <w:szCs w:val="24"/>
          <w:lang w:val="en-GB" w:eastAsia="fr-FR"/>
        </w:rPr>
        <w:t xml:space="preserve">We believe the Commission should work on a more </w:t>
      </w:r>
      <w:proofErr w:type="spellStart"/>
      <w:r w:rsidR="00925509">
        <w:rPr>
          <w:rFonts w:eastAsia="Times New Roman" w:cstheme="minorHAnsi"/>
          <w:sz w:val="24"/>
          <w:szCs w:val="24"/>
          <w:lang w:val="en-GB" w:eastAsia="fr-FR"/>
        </w:rPr>
        <w:t>precised</w:t>
      </w:r>
      <w:proofErr w:type="spellEnd"/>
      <w:r w:rsidR="00925509">
        <w:rPr>
          <w:rFonts w:eastAsia="Times New Roman" w:cstheme="minorHAnsi"/>
          <w:sz w:val="24"/>
          <w:szCs w:val="24"/>
          <w:lang w:val="en-GB" w:eastAsia="fr-FR"/>
        </w:rPr>
        <w:t xml:space="preserve"> definition.</w:t>
      </w:r>
    </w:p>
    <w:p w14:paraId="389DB8AE"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We understand that a public body and an association could be a data altruism organization. And that a private-for profit entity could possibly create a non-profit subsidiary. But how will it be financed? By some corporate sponsorship from the private-for profit entity? Thanks to financial donations, in addition to fees to be paid by natural or legal persons processing the data, if </w:t>
      </w:r>
      <w:proofErr w:type="gramStart"/>
      <w:r w:rsidRPr="0079408D">
        <w:rPr>
          <w:rFonts w:eastAsia="Times New Roman" w:cstheme="minorHAnsi"/>
          <w:sz w:val="24"/>
          <w:szCs w:val="24"/>
          <w:lang w:val="en-GB" w:eastAsia="fr-FR"/>
        </w:rPr>
        <w:t>any ?</w:t>
      </w:r>
      <w:proofErr w:type="gramEnd"/>
    </w:p>
    <w:p w14:paraId="15C2ABE1" w14:textId="05CB7404"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The idea is, of course, interesting but seems to us not solid enough from an economic point of view. As a matter of fact, before getting some potential fees, an initial investment will be required to create the data altruism organization.</w:t>
      </w:r>
    </w:p>
    <w:p w14:paraId="684880D9"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In the article 18, the (c) from the point (2), will the anonymization / pseudonymization process have to be done by the data altruism organization or by the re-user?</w:t>
      </w:r>
    </w:p>
    <w:p w14:paraId="4083E1D1" w14:textId="692E72BA" w:rsidR="007A7848"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In that case too, we suggest having one competent authority by Member State.</w:t>
      </w:r>
    </w:p>
    <w:p w14:paraId="1E7AF8BA" w14:textId="77777777" w:rsidR="00224247" w:rsidRPr="0025331D" w:rsidRDefault="00224247" w:rsidP="00953478">
      <w:pPr>
        <w:spacing w:before="100" w:beforeAutospacing="1" w:after="100" w:afterAutospacing="1" w:line="240" w:lineRule="auto"/>
        <w:jc w:val="both"/>
        <w:rPr>
          <w:rFonts w:eastAsia="Times New Roman" w:cstheme="minorHAnsi"/>
          <w:color w:val="FF0000"/>
          <w:sz w:val="24"/>
          <w:szCs w:val="24"/>
          <w:lang w:val="en-GB" w:eastAsia="fr-FR"/>
        </w:rPr>
      </w:pPr>
      <w:r w:rsidRPr="0025331D">
        <w:rPr>
          <w:rFonts w:eastAsia="Times New Roman" w:cstheme="minorHAnsi"/>
          <w:color w:val="FF0000"/>
          <w:sz w:val="24"/>
          <w:szCs w:val="24"/>
          <w:lang w:val="en-GB" w:eastAsia="fr-FR"/>
        </w:rPr>
        <w:t> </w:t>
      </w:r>
      <w:r w:rsidRPr="0025331D">
        <w:rPr>
          <w:rFonts w:eastAsia="Times New Roman" w:cstheme="minorHAnsi"/>
          <w:b/>
          <w:bCs/>
          <w:color w:val="FF0000"/>
          <w:sz w:val="24"/>
          <w:szCs w:val="24"/>
          <w:lang w:val="en-GB" w:eastAsia="fr-FR"/>
        </w:rPr>
        <w:t>4. The European Data Innovation Board</w:t>
      </w:r>
      <w:r w:rsidRPr="0025331D">
        <w:rPr>
          <w:rFonts w:eastAsia="Times New Roman" w:cstheme="minorHAnsi"/>
          <w:color w:val="FF0000"/>
          <w:sz w:val="24"/>
          <w:szCs w:val="24"/>
          <w:lang w:val="en-GB" w:eastAsia="fr-FR"/>
        </w:rPr>
        <w:t xml:space="preserve"> </w:t>
      </w:r>
      <w:r w:rsidRPr="0025331D">
        <w:rPr>
          <w:rFonts w:eastAsia="Times New Roman" w:cstheme="minorHAnsi"/>
          <w:b/>
          <w:bCs/>
          <w:color w:val="FF0000"/>
          <w:sz w:val="24"/>
          <w:szCs w:val="24"/>
          <w:lang w:val="en-GB" w:eastAsia="fr-FR"/>
        </w:rPr>
        <w:t>(chapter VI of the draft DGA)</w:t>
      </w:r>
    </w:p>
    <w:p w14:paraId="6EA4BD53"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 xml:space="preserve"> It is provided that:” </w:t>
      </w:r>
      <w:r w:rsidRPr="0079408D">
        <w:rPr>
          <w:rFonts w:eastAsia="Times New Roman" w:cstheme="minorHAnsi"/>
          <w:i/>
          <w:sz w:val="24"/>
          <w:szCs w:val="24"/>
          <w:lang w:val="en-GB" w:eastAsia="fr-FR"/>
        </w:rPr>
        <w:t xml:space="preserve">Stakeholders and relevant third parties </w:t>
      </w:r>
      <w:r w:rsidRPr="0079408D">
        <w:rPr>
          <w:rFonts w:eastAsia="Times New Roman" w:cstheme="minorHAnsi"/>
          <w:i/>
          <w:iCs/>
          <w:sz w:val="24"/>
          <w:szCs w:val="24"/>
          <w:lang w:val="en-GB" w:eastAsia="fr-FR"/>
        </w:rPr>
        <w:t xml:space="preserve">may </w:t>
      </w:r>
      <w:r w:rsidRPr="0079408D">
        <w:rPr>
          <w:rFonts w:eastAsia="Times New Roman" w:cstheme="minorHAnsi"/>
          <w:i/>
          <w:sz w:val="24"/>
          <w:szCs w:val="24"/>
          <w:lang w:val="en-GB" w:eastAsia="fr-FR"/>
        </w:rPr>
        <w:t>be invited to attend meetings of the Board and to participate in its work</w:t>
      </w:r>
      <w:r w:rsidR="002F0A00" w:rsidRPr="0079408D">
        <w:rPr>
          <w:rFonts w:eastAsia="Times New Roman" w:cstheme="minorHAnsi"/>
          <w:sz w:val="24"/>
          <w:szCs w:val="24"/>
          <w:lang w:val="en-GB" w:eastAsia="fr-FR"/>
        </w:rPr>
        <w:t>.”</w:t>
      </w:r>
    </w:p>
    <w:p w14:paraId="41001D7A"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We consider that it should be mandatory and not an option.</w:t>
      </w:r>
    </w:p>
    <w:p w14:paraId="3C77A2C5"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As a matter of fact, it seems to us essential to include some representatives of data sharing service providers and data altruism organisations being in charge of the operational implementation of this regulation.</w:t>
      </w:r>
    </w:p>
    <w:p w14:paraId="54AC240D"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Of course, participation arrangements will have to be well defined.</w:t>
      </w:r>
    </w:p>
    <w:p w14:paraId="6AEFE14F" w14:textId="77777777" w:rsidR="00224247" w:rsidRPr="0025331D" w:rsidRDefault="00224247" w:rsidP="00953478">
      <w:pPr>
        <w:spacing w:before="100" w:beforeAutospacing="1" w:after="100" w:afterAutospacing="1" w:line="240" w:lineRule="auto"/>
        <w:jc w:val="both"/>
        <w:rPr>
          <w:rFonts w:eastAsia="Times New Roman" w:cstheme="minorHAnsi"/>
          <w:color w:val="FF0000"/>
          <w:sz w:val="24"/>
          <w:szCs w:val="24"/>
          <w:lang w:val="en-GB" w:eastAsia="fr-FR"/>
        </w:rPr>
      </w:pPr>
      <w:r w:rsidRPr="0025331D">
        <w:rPr>
          <w:rFonts w:eastAsia="Times New Roman" w:cstheme="minorHAnsi"/>
          <w:b/>
          <w:bCs/>
          <w:color w:val="FF0000"/>
          <w:sz w:val="24"/>
          <w:szCs w:val="24"/>
          <w:lang w:val="en-GB" w:eastAsia="fr-FR"/>
        </w:rPr>
        <w:t>5. Extra-EU issues and digital sovereignty</w:t>
      </w:r>
    </w:p>
    <w:p w14:paraId="0FA384B2" w14:textId="77777777" w:rsidR="00224247" w:rsidRPr="0079408D" w:rsidRDefault="00224247" w:rsidP="00953478">
      <w:pPr>
        <w:spacing w:before="100" w:beforeAutospacing="1" w:after="100" w:afterAutospacing="1" w:line="240" w:lineRule="auto"/>
        <w:jc w:val="both"/>
        <w:rPr>
          <w:rFonts w:eastAsia="Times New Roman" w:cstheme="minorHAnsi"/>
          <w:sz w:val="24"/>
          <w:szCs w:val="24"/>
          <w:lang w:val="en-GB" w:eastAsia="fr-FR"/>
        </w:rPr>
      </w:pPr>
      <w:r w:rsidRPr="0079408D">
        <w:rPr>
          <w:rFonts w:eastAsia="Times New Roman" w:cstheme="minorHAnsi"/>
          <w:sz w:val="24"/>
          <w:szCs w:val="24"/>
          <w:lang w:val="en-GB" w:eastAsia="fr-FR"/>
        </w:rPr>
        <w:t>We are in line with the idea as the GFII has already alerted on the potential consequences of “open Public Sector Information” for the EU digital sovereignty.</w:t>
      </w:r>
    </w:p>
    <w:p w14:paraId="0F2650D9" w14:textId="77777777" w:rsidR="006563EA" w:rsidRPr="0079408D" w:rsidRDefault="00224247" w:rsidP="00953478">
      <w:pPr>
        <w:jc w:val="both"/>
        <w:rPr>
          <w:rFonts w:cstheme="minorHAnsi"/>
          <w:lang w:val="en-GB"/>
        </w:rPr>
      </w:pPr>
      <w:r w:rsidRPr="0079408D">
        <w:rPr>
          <w:rFonts w:eastAsia="Times New Roman" w:cstheme="minorHAnsi"/>
          <w:sz w:val="24"/>
          <w:szCs w:val="24"/>
          <w:lang w:val="en-GB" w:eastAsia="fr-FR"/>
        </w:rPr>
        <w:t>It will be necessary to work on this at a very early stage in order to have precisely and easily understandable rules and not only for legal experts.</w:t>
      </w:r>
    </w:p>
    <w:p w14:paraId="4BF84071" w14:textId="7D84888F" w:rsidR="00953478" w:rsidRDefault="00953478">
      <w:pPr>
        <w:jc w:val="both"/>
        <w:rPr>
          <w:rFonts w:cstheme="minorHAnsi"/>
          <w:lang w:val="en-GB"/>
        </w:rPr>
      </w:pPr>
    </w:p>
    <w:p w14:paraId="44A64769" w14:textId="77777777" w:rsidR="00FA55B9" w:rsidRPr="0032147E" w:rsidRDefault="00FA55B9" w:rsidP="00FA55B9">
      <w:pPr>
        <w:spacing w:before="100" w:beforeAutospacing="1" w:after="100" w:afterAutospacing="1" w:line="240" w:lineRule="auto"/>
        <w:jc w:val="both"/>
        <w:rPr>
          <w:rFonts w:eastAsia="Times New Roman" w:cstheme="minorHAnsi"/>
          <w:color w:val="002060"/>
          <w:sz w:val="24"/>
          <w:szCs w:val="24"/>
          <w:lang w:val="en-GB" w:eastAsia="fr-FR"/>
        </w:rPr>
      </w:pPr>
      <w:r w:rsidRPr="0032147E">
        <w:rPr>
          <w:rFonts w:eastAsia="Times New Roman" w:cstheme="minorHAnsi"/>
          <w:b/>
          <w:bCs/>
          <w:color w:val="002060"/>
          <w:sz w:val="24"/>
          <w:szCs w:val="24"/>
          <w:lang w:val="en-GB" w:eastAsia="fr-FR"/>
        </w:rPr>
        <w:t>About GFII</w:t>
      </w:r>
    </w:p>
    <w:p w14:paraId="3A0E5BBD" w14:textId="77777777" w:rsidR="00FA55B9" w:rsidRPr="0032147E" w:rsidRDefault="00FA55B9" w:rsidP="00FA55B9">
      <w:pPr>
        <w:spacing w:before="100" w:beforeAutospacing="1" w:after="100" w:afterAutospacing="1" w:line="240" w:lineRule="auto"/>
        <w:jc w:val="both"/>
        <w:rPr>
          <w:rFonts w:eastAsia="Times New Roman" w:cstheme="minorHAnsi"/>
          <w:color w:val="002060"/>
          <w:sz w:val="24"/>
          <w:szCs w:val="24"/>
          <w:lang w:val="en-GB" w:eastAsia="fr-FR"/>
        </w:rPr>
      </w:pPr>
      <w:r w:rsidRPr="0032147E">
        <w:rPr>
          <w:rFonts w:eastAsia="Times New Roman" w:cstheme="minorHAnsi"/>
          <w:color w:val="002060"/>
          <w:sz w:val="24"/>
          <w:szCs w:val="24"/>
          <w:lang w:val="en-GB" w:eastAsia="fr-FR"/>
        </w:rPr>
        <w:t xml:space="preserve">GFII, created in 1979, is an independent and unique French organization of information professionals working in the </w:t>
      </w:r>
      <w:proofErr w:type="spellStart"/>
      <w:r w:rsidRPr="0032147E">
        <w:rPr>
          <w:rFonts w:eastAsia="Times New Roman" w:cstheme="minorHAnsi"/>
          <w:color w:val="002060"/>
          <w:sz w:val="24"/>
          <w:szCs w:val="24"/>
          <w:lang w:val="en-GB" w:eastAsia="fr-FR"/>
        </w:rPr>
        <w:t>BtoB</w:t>
      </w:r>
      <w:proofErr w:type="spellEnd"/>
      <w:r w:rsidRPr="0032147E">
        <w:rPr>
          <w:rFonts w:eastAsia="Times New Roman" w:cstheme="minorHAnsi"/>
          <w:color w:val="002060"/>
          <w:sz w:val="24"/>
          <w:szCs w:val="24"/>
          <w:lang w:val="en-GB" w:eastAsia="fr-FR"/>
        </w:rPr>
        <w:t xml:space="preserve"> data landscape </w:t>
      </w:r>
      <w:r w:rsidRPr="0032147E">
        <w:rPr>
          <w:rFonts w:eastAsia="Times New Roman" w:cstheme="minorHAnsi"/>
          <w:b/>
          <w:color w:val="002060"/>
          <w:sz w:val="24"/>
          <w:szCs w:val="24"/>
          <w:lang w:val="en-GB" w:eastAsia="fr-FR"/>
        </w:rPr>
        <w:t xml:space="preserve">that brings together private and public data producers and/or </w:t>
      </w:r>
      <w:proofErr w:type="spellStart"/>
      <w:r w:rsidRPr="0032147E">
        <w:rPr>
          <w:rFonts w:eastAsia="Times New Roman" w:cstheme="minorHAnsi"/>
          <w:b/>
          <w:color w:val="002060"/>
          <w:sz w:val="24"/>
          <w:szCs w:val="24"/>
          <w:lang w:val="en-GB" w:eastAsia="fr-FR"/>
        </w:rPr>
        <w:t>reusers</w:t>
      </w:r>
      <w:proofErr w:type="spellEnd"/>
      <w:r w:rsidRPr="0032147E">
        <w:rPr>
          <w:rFonts w:eastAsia="Times New Roman" w:cstheme="minorHAnsi"/>
          <w:b/>
          <w:color w:val="002060"/>
          <w:sz w:val="24"/>
          <w:szCs w:val="24"/>
          <w:lang w:val="en-GB" w:eastAsia="fr-FR"/>
        </w:rPr>
        <w:t xml:space="preserve"> </w:t>
      </w:r>
      <w:r w:rsidRPr="0032147E">
        <w:rPr>
          <w:rFonts w:eastAsia="Times New Roman" w:cstheme="minorHAnsi"/>
          <w:color w:val="002060"/>
          <w:sz w:val="24"/>
          <w:szCs w:val="24"/>
          <w:lang w:val="en-GB" w:eastAsia="fr-FR"/>
        </w:rPr>
        <w:t xml:space="preserve">such as the French Ministry of Interior, </w:t>
      </w:r>
      <w:proofErr w:type="spellStart"/>
      <w:r w:rsidRPr="0032147E">
        <w:rPr>
          <w:rFonts w:eastAsia="Times New Roman" w:cstheme="minorHAnsi"/>
          <w:color w:val="002060"/>
          <w:sz w:val="24"/>
          <w:szCs w:val="24"/>
          <w:lang w:val="en-GB" w:eastAsia="fr-FR"/>
        </w:rPr>
        <w:t>Bibliothèque</w:t>
      </w:r>
      <w:proofErr w:type="spellEnd"/>
      <w:r w:rsidRPr="0032147E">
        <w:rPr>
          <w:rFonts w:eastAsia="Times New Roman" w:cstheme="minorHAnsi"/>
          <w:color w:val="002060"/>
          <w:sz w:val="24"/>
          <w:szCs w:val="24"/>
          <w:lang w:val="en-GB" w:eastAsia="fr-FR"/>
        </w:rPr>
        <w:t xml:space="preserve"> </w:t>
      </w:r>
      <w:proofErr w:type="spellStart"/>
      <w:r w:rsidRPr="0032147E">
        <w:rPr>
          <w:rFonts w:eastAsia="Times New Roman" w:cstheme="minorHAnsi"/>
          <w:color w:val="002060"/>
          <w:sz w:val="24"/>
          <w:szCs w:val="24"/>
          <w:lang w:val="en-GB" w:eastAsia="fr-FR"/>
        </w:rPr>
        <w:t>Nationale</w:t>
      </w:r>
      <w:proofErr w:type="spellEnd"/>
      <w:r w:rsidRPr="0032147E">
        <w:rPr>
          <w:rFonts w:eastAsia="Times New Roman" w:cstheme="minorHAnsi"/>
          <w:color w:val="002060"/>
          <w:sz w:val="24"/>
          <w:szCs w:val="24"/>
          <w:lang w:val="en-GB" w:eastAsia="fr-FR"/>
        </w:rPr>
        <w:t xml:space="preserve"> de France, French chambers of Commerce, Orange Business Services, many legal and scientific publishers, Total, Crédit Agricole, Engie and SME as Starzdata, </w:t>
      </w:r>
      <w:proofErr w:type="spellStart"/>
      <w:r w:rsidRPr="0032147E">
        <w:rPr>
          <w:rFonts w:eastAsia="Times New Roman" w:cstheme="minorHAnsi"/>
          <w:color w:val="002060"/>
          <w:sz w:val="24"/>
          <w:szCs w:val="24"/>
          <w:lang w:val="en-GB" w:eastAsia="fr-FR"/>
        </w:rPr>
        <w:t>OpenDatasoft</w:t>
      </w:r>
      <w:proofErr w:type="spellEnd"/>
      <w:r w:rsidRPr="0032147E">
        <w:rPr>
          <w:rFonts w:eastAsia="Times New Roman" w:cstheme="minorHAnsi"/>
          <w:color w:val="002060"/>
          <w:sz w:val="24"/>
          <w:szCs w:val="24"/>
          <w:lang w:val="en-GB" w:eastAsia="fr-FR"/>
        </w:rPr>
        <w:t>, Cairn-info,…</w:t>
      </w:r>
    </w:p>
    <w:p w14:paraId="53E23E45" w14:textId="77777777" w:rsidR="00FA55B9" w:rsidRPr="0032147E" w:rsidRDefault="00FA55B9" w:rsidP="00FA55B9">
      <w:pPr>
        <w:spacing w:before="100" w:beforeAutospacing="1" w:after="100" w:afterAutospacing="1" w:line="240" w:lineRule="auto"/>
        <w:jc w:val="both"/>
        <w:rPr>
          <w:rFonts w:eastAsia="Times New Roman" w:cstheme="minorHAnsi"/>
          <w:color w:val="002060"/>
          <w:sz w:val="24"/>
          <w:szCs w:val="24"/>
          <w:lang w:val="en-GB" w:eastAsia="fr-FR"/>
        </w:rPr>
      </w:pPr>
      <w:r w:rsidRPr="0032147E">
        <w:rPr>
          <w:rFonts w:eastAsia="Times New Roman" w:cstheme="minorHAnsi"/>
          <w:color w:val="002060"/>
          <w:sz w:val="24"/>
          <w:szCs w:val="24"/>
          <w:lang w:val="en-GB" w:eastAsia="fr-FR"/>
        </w:rPr>
        <w:t xml:space="preserve">GFII aims to promote a sustainable and equitable economy of data/content. It acknowledges the important costs that implies manufacturing, maintenance, development and dissemination of data in an assumed commercial environment. It stresses the major need of interoperability of data in the process of valorisation and reusability power. </w:t>
      </w:r>
    </w:p>
    <w:p w14:paraId="297BCA63" w14:textId="77777777" w:rsidR="00FA55B9" w:rsidRPr="0032147E" w:rsidRDefault="00FA55B9" w:rsidP="00FA55B9">
      <w:pPr>
        <w:spacing w:before="100" w:beforeAutospacing="1" w:after="100" w:afterAutospacing="1" w:line="240" w:lineRule="auto"/>
        <w:jc w:val="both"/>
        <w:rPr>
          <w:rFonts w:eastAsia="Times New Roman" w:cstheme="minorHAnsi"/>
          <w:color w:val="002060"/>
          <w:sz w:val="24"/>
          <w:szCs w:val="24"/>
          <w:lang w:val="en-GB" w:eastAsia="fr-FR"/>
        </w:rPr>
      </w:pPr>
      <w:r w:rsidRPr="0032147E">
        <w:rPr>
          <w:rFonts w:eastAsia="Times New Roman" w:cstheme="minorHAnsi"/>
          <w:color w:val="002060"/>
          <w:sz w:val="24"/>
          <w:szCs w:val="24"/>
          <w:lang w:val="en-GB" w:eastAsia="fr-FR"/>
        </w:rPr>
        <w:t>GFII promotes a sustainable and ethical use of data and works closely with lawyers, strategy experts, data-managers to bring the most expert and efficient feedback about the implementation of data policies.</w:t>
      </w:r>
    </w:p>
    <w:p w14:paraId="6077D58D" w14:textId="704868F2" w:rsidR="00FA55B9" w:rsidRDefault="00FA55B9">
      <w:pPr>
        <w:jc w:val="both"/>
        <w:rPr>
          <w:rFonts w:cstheme="minorHAnsi"/>
          <w:lang w:val="en-GB"/>
        </w:rPr>
      </w:pPr>
    </w:p>
    <w:p w14:paraId="24EF0D3E" w14:textId="77777777" w:rsidR="00FA55B9" w:rsidRPr="0079408D" w:rsidRDefault="00FA55B9">
      <w:pPr>
        <w:jc w:val="both"/>
        <w:rPr>
          <w:rFonts w:cstheme="minorHAnsi"/>
          <w:lang w:val="en-GB"/>
        </w:rPr>
      </w:pPr>
    </w:p>
    <w:sectPr w:rsidR="00FA55B9" w:rsidRPr="0079408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7D5F1" w14:textId="77777777" w:rsidR="00F4302C" w:rsidRDefault="00F4302C" w:rsidP="00224247">
      <w:pPr>
        <w:spacing w:after="0" w:line="240" w:lineRule="auto"/>
      </w:pPr>
      <w:r>
        <w:separator/>
      </w:r>
    </w:p>
  </w:endnote>
  <w:endnote w:type="continuationSeparator" w:id="0">
    <w:p w14:paraId="3C28C3D1" w14:textId="77777777" w:rsidR="00F4302C" w:rsidRDefault="00F4302C" w:rsidP="0022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2EFC" w14:textId="77777777" w:rsidR="0032147E" w:rsidRDefault="003214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3053" w14:textId="170CE125" w:rsidR="00045E6C" w:rsidRPr="00045E6C" w:rsidRDefault="00045E6C">
    <w:pPr>
      <w:pStyle w:val="Pieddepage"/>
      <w:rPr>
        <w:lang w:val="en-GB"/>
      </w:rPr>
    </w:pPr>
    <w:r w:rsidRPr="00045E6C">
      <w:rPr>
        <w:color w:val="5B9BD5" w:themeColor="accent1"/>
        <w:lang w:val="en-GB"/>
      </w:rPr>
      <w:t xml:space="preserve"> </w:t>
    </w:r>
    <w:r w:rsidRPr="00045E6C">
      <w:rPr>
        <w:rFonts w:asciiTheme="majorHAnsi" w:eastAsiaTheme="majorEastAsia" w:hAnsiTheme="majorHAnsi" w:cstheme="majorBidi"/>
        <w:color w:val="5B9BD5" w:themeColor="accent1"/>
        <w:sz w:val="20"/>
        <w:szCs w:val="20"/>
        <w:lang w:val="en-GB"/>
      </w:rPr>
      <w:t xml:space="preserve">p. </w:t>
    </w:r>
    <w:r>
      <w:rPr>
        <w:rFonts w:eastAsiaTheme="minorEastAsia"/>
        <w:color w:val="5B9BD5" w:themeColor="accent1"/>
        <w:sz w:val="20"/>
        <w:szCs w:val="20"/>
      </w:rPr>
      <w:fldChar w:fldCharType="begin"/>
    </w:r>
    <w:r w:rsidRPr="00045E6C">
      <w:rPr>
        <w:color w:val="5B9BD5" w:themeColor="accent1"/>
        <w:sz w:val="20"/>
        <w:szCs w:val="20"/>
        <w:lang w:val="en-GB"/>
      </w:rPr>
      <w:instrText>PAGE    \* MERGEFORMAT</w:instrText>
    </w:r>
    <w:r>
      <w:rPr>
        <w:rFonts w:eastAsiaTheme="minorEastAsia"/>
        <w:color w:val="5B9BD5" w:themeColor="accent1"/>
        <w:sz w:val="20"/>
        <w:szCs w:val="20"/>
      </w:rPr>
      <w:fldChar w:fldCharType="separate"/>
    </w:r>
    <w:r w:rsidRPr="00045E6C">
      <w:rPr>
        <w:rFonts w:asciiTheme="majorHAnsi" w:eastAsiaTheme="majorEastAsia" w:hAnsiTheme="majorHAnsi" w:cstheme="majorBidi"/>
        <w:color w:val="5B9BD5" w:themeColor="accent1"/>
        <w:sz w:val="20"/>
        <w:szCs w:val="20"/>
        <w:lang w:val="en-GB"/>
      </w:rPr>
      <w:t>2</w:t>
    </w:r>
    <w:r>
      <w:rPr>
        <w:rFonts w:asciiTheme="majorHAnsi" w:eastAsiaTheme="majorEastAsia" w:hAnsiTheme="majorHAnsi" w:cstheme="majorBidi"/>
        <w:color w:val="5B9BD5" w:themeColor="accent1"/>
        <w:sz w:val="20"/>
        <w:szCs w:val="20"/>
      </w:rPr>
      <w:fldChar w:fldCharType="end"/>
    </w:r>
    <w:r w:rsidRPr="00045E6C">
      <w:rPr>
        <w:rFonts w:asciiTheme="majorHAnsi" w:eastAsiaTheme="majorEastAsia" w:hAnsiTheme="majorHAnsi" w:cstheme="majorBidi"/>
        <w:color w:val="5B9BD5" w:themeColor="accent1"/>
        <w:sz w:val="20"/>
        <w:szCs w:val="20"/>
        <w:lang w:val="en-GB"/>
      </w:rPr>
      <w:t xml:space="preserve"> </w:t>
    </w:r>
    <w:r>
      <w:rPr>
        <w:rFonts w:asciiTheme="majorHAnsi" w:eastAsiaTheme="majorEastAsia" w:hAnsiTheme="majorHAnsi" w:cstheme="majorBidi"/>
        <w:color w:val="5B9BD5" w:themeColor="accent1"/>
        <w:sz w:val="20"/>
        <w:szCs w:val="20"/>
        <w:lang w:val="en-GB"/>
      </w:rPr>
      <w:tab/>
    </w:r>
    <w:r w:rsidRPr="00045E6C">
      <w:rPr>
        <w:rFonts w:asciiTheme="majorHAnsi" w:eastAsiaTheme="majorEastAsia" w:hAnsiTheme="majorHAnsi" w:cstheme="majorBidi"/>
        <w:color w:val="5B9BD5" w:themeColor="accent1"/>
        <w:sz w:val="20"/>
        <w:szCs w:val="20"/>
        <w:lang w:val="en-GB"/>
      </w:rPr>
      <w:t xml:space="preserve">GFII Statement of the proposal for a Data </w:t>
    </w:r>
    <w:r w:rsidR="00B30B63" w:rsidRPr="00045E6C">
      <w:rPr>
        <w:rFonts w:asciiTheme="majorHAnsi" w:eastAsiaTheme="majorEastAsia" w:hAnsiTheme="majorHAnsi" w:cstheme="majorBidi"/>
        <w:color w:val="5B9BD5" w:themeColor="accent1"/>
        <w:sz w:val="20"/>
        <w:szCs w:val="20"/>
        <w:lang w:val="en-GB"/>
      </w:rPr>
      <w:t>Govern</w:t>
    </w:r>
    <w:r w:rsidR="00B30B63">
      <w:rPr>
        <w:rFonts w:asciiTheme="majorHAnsi" w:eastAsiaTheme="majorEastAsia" w:hAnsiTheme="majorHAnsi" w:cstheme="majorBidi"/>
        <w:color w:val="5B9BD5" w:themeColor="accent1"/>
        <w:sz w:val="20"/>
        <w:szCs w:val="20"/>
        <w:lang w:val="en-GB"/>
      </w:rPr>
      <w:t>ance</w:t>
    </w:r>
    <w:r>
      <w:rPr>
        <w:rFonts w:asciiTheme="majorHAnsi" w:eastAsiaTheme="majorEastAsia" w:hAnsiTheme="majorHAnsi" w:cstheme="majorBidi"/>
        <w:color w:val="5B9BD5" w:themeColor="accent1"/>
        <w:sz w:val="20"/>
        <w:szCs w:val="20"/>
        <w:lang w:val="en-GB"/>
      </w:rPr>
      <w:t xml:space="preserve"> </w:t>
    </w:r>
    <w:proofErr w:type="gramStart"/>
    <w:r>
      <w:rPr>
        <w:rFonts w:asciiTheme="majorHAnsi" w:eastAsiaTheme="majorEastAsia" w:hAnsiTheme="majorHAnsi" w:cstheme="majorBidi"/>
        <w:color w:val="5B9BD5" w:themeColor="accent1"/>
        <w:sz w:val="20"/>
        <w:szCs w:val="20"/>
        <w:lang w:val="en-GB"/>
      </w:rPr>
      <w:t>Act</w:t>
    </w:r>
    <w:r w:rsidR="0032147E">
      <w:rPr>
        <w:rFonts w:asciiTheme="majorHAnsi" w:eastAsiaTheme="majorEastAsia" w:hAnsiTheme="majorHAnsi" w:cstheme="majorBidi"/>
        <w:color w:val="5B9BD5" w:themeColor="accent1"/>
        <w:sz w:val="20"/>
        <w:szCs w:val="20"/>
        <w:lang w:val="en-GB"/>
      </w:rPr>
      <w:t xml:space="preserve">, </w:t>
    </w:r>
    <w:r>
      <w:rPr>
        <w:rFonts w:asciiTheme="majorHAnsi" w:eastAsiaTheme="majorEastAsia" w:hAnsiTheme="majorHAnsi" w:cstheme="majorBidi"/>
        <w:color w:val="5B9BD5" w:themeColor="accent1"/>
        <w:sz w:val="20"/>
        <w:szCs w:val="20"/>
        <w:lang w:val="en-GB"/>
      </w:rPr>
      <w:t xml:space="preserve"> 1</w:t>
    </w:r>
    <w:proofErr w:type="gramEnd"/>
    <w:r w:rsidRPr="00045E6C">
      <w:rPr>
        <w:rFonts w:asciiTheme="majorHAnsi" w:eastAsiaTheme="majorEastAsia" w:hAnsiTheme="majorHAnsi" w:cstheme="majorBidi"/>
        <w:color w:val="5B9BD5" w:themeColor="accent1"/>
        <w:sz w:val="20"/>
        <w:szCs w:val="20"/>
        <w:vertAlign w:val="superscript"/>
        <w:lang w:val="en-GB"/>
      </w:rPr>
      <w:t>st</w:t>
    </w:r>
    <w:r>
      <w:rPr>
        <w:rFonts w:asciiTheme="majorHAnsi" w:eastAsiaTheme="majorEastAsia" w:hAnsiTheme="majorHAnsi" w:cstheme="majorBidi"/>
        <w:color w:val="5B9BD5" w:themeColor="accent1"/>
        <w:sz w:val="20"/>
        <w:szCs w:val="20"/>
        <w:lang w:val="en-GB"/>
      </w:rPr>
      <w:t xml:space="preserve"> of 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573E" w14:textId="77777777" w:rsidR="0032147E" w:rsidRDefault="003214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5FFFB" w14:textId="77777777" w:rsidR="00F4302C" w:rsidRDefault="00F4302C" w:rsidP="00224247">
      <w:pPr>
        <w:spacing w:after="0" w:line="240" w:lineRule="auto"/>
      </w:pPr>
      <w:r>
        <w:separator/>
      </w:r>
    </w:p>
  </w:footnote>
  <w:footnote w:type="continuationSeparator" w:id="0">
    <w:p w14:paraId="5947B8DA" w14:textId="77777777" w:rsidR="00F4302C" w:rsidRDefault="00F4302C" w:rsidP="00224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9AF3" w14:textId="77777777" w:rsidR="0032147E" w:rsidRDefault="003214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4CF1" w14:textId="77777777" w:rsidR="0032147E" w:rsidRDefault="003214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7458" w14:textId="77777777" w:rsidR="0032147E" w:rsidRDefault="003214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337F3"/>
    <w:multiLevelType w:val="hybridMultilevel"/>
    <w:tmpl w:val="DD78EDA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46DCB24"/>
    <w:multiLevelType w:val="hybridMultilevel"/>
    <w:tmpl w:val="348FE77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47"/>
    <w:rsid w:val="00041892"/>
    <w:rsid w:val="00045E6C"/>
    <w:rsid w:val="0006268A"/>
    <w:rsid w:val="001276A3"/>
    <w:rsid w:val="00224247"/>
    <w:rsid w:val="00226702"/>
    <w:rsid w:val="0025331D"/>
    <w:rsid w:val="00266B5A"/>
    <w:rsid w:val="002C153C"/>
    <w:rsid w:val="002F0A00"/>
    <w:rsid w:val="00303502"/>
    <w:rsid w:val="0032147E"/>
    <w:rsid w:val="00363AC2"/>
    <w:rsid w:val="004A092A"/>
    <w:rsid w:val="006563EA"/>
    <w:rsid w:val="00767288"/>
    <w:rsid w:val="0079408D"/>
    <w:rsid w:val="007A7848"/>
    <w:rsid w:val="007D0F59"/>
    <w:rsid w:val="00830981"/>
    <w:rsid w:val="00925509"/>
    <w:rsid w:val="00953478"/>
    <w:rsid w:val="009D2156"/>
    <w:rsid w:val="00B30B63"/>
    <w:rsid w:val="00B74D61"/>
    <w:rsid w:val="00CB617F"/>
    <w:rsid w:val="00D42BE6"/>
    <w:rsid w:val="00DA4555"/>
    <w:rsid w:val="00F4302C"/>
    <w:rsid w:val="00FA55B9"/>
    <w:rsid w:val="00FF5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8DF8"/>
  <w15:docId w15:val="{16B2BF83-9413-4AB0-B854-99707D67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4247"/>
    <w:pPr>
      <w:tabs>
        <w:tab w:val="center" w:pos="4536"/>
        <w:tab w:val="right" w:pos="9072"/>
      </w:tabs>
      <w:spacing w:after="0" w:line="240" w:lineRule="auto"/>
    </w:pPr>
  </w:style>
  <w:style w:type="character" w:customStyle="1" w:styleId="En-tteCar">
    <w:name w:val="En-tête Car"/>
    <w:basedOn w:val="Policepardfaut"/>
    <w:link w:val="En-tte"/>
    <w:uiPriority w:val="99"/>
    <w:rsid w:val="00224247"/>
  </w:style>
  <w:style w:type="paragraph" w:styleId="Pieddepage">
    <w:name w:val="footer"/>
    <w:basedOn w:val="Normal"/>
    <w:link w:val="PieddepageCar"/>
    <w:uiPriority w:val="99"/>
    <w:unhideWhenUsed/>
    <w:rsid w:val="00224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247"/>
  </w:style>
  <w:style w:type="paragraph" w:styleId="Rvision">
    <w:name w:val="Revision"/>
    <w:hidden/>
    <w:uiPriority w:val="99"/>
    <w:semiHidden/>
    <w:rsid w:val="00224247"/>
    <w:pPr>
      <w:spacing w:after="0" w:line="240" w:lineRule="auto"/>
    </w:pPr>
  </w:style>
  <w:style w:type="paragraph" w:styleId="Textedebulles">
    <w:name w:val="Balloon Text"/>
    <w:basedOn w:val="Normal"/>
    <w:link w:val="TextedebullesCar"/>
    <w:uiPriority w:val="99"/>
    <w:semiHidden/>
    <w:unhideWhenUsed/>
    <w:rsid w:val="002242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247"/>
    <w:rPr>
      <w:rFonts w:ascii="Tahoma" w:hAnsi="Tahoma" w:cs="Tahoma"/>
      <w:sz w:val="16"/>
      <w:szCs w:val="16"/>
    </w:rPr>
  </w:style>
  <w:style w:type="character" w:styleId="Marquedecommentaire">
    <w:name w:val="annotation reference"/>
    <w:basedOn w:val="Policepardfaut"/>
    <w:uiPriority w:val="99"/>
    <w:semiHidden/>
    <w:unhideWhenUsed/>
    <w:rsid w:val="002F0A00"/>
    <w:rPr>
      <w:sz w:val="16"/>
      <w:szCs w:val="16"/>
    </w:rPr>
  </w:style>
  <w:style w:type="paragraph" w:styleId="Commentaire">
    <w:name w:val="annotation text"/>
    <w:basedOn w:val="Normal"/>
    <w:link w:val="CommentaireCar"/>
    <w:uiPriority w:val="99"/>
    <w:semiHidden/>
    <w:unhideWhenUsed/>
    <w:rsid w:val="002F0A00"/>
    <w:pPr>
      <w:spacing w:line="240" w:lineRule="auto"/>
    </w:pPr>
    <w:rPr>
      <w:sz w:val="20"/>
      <w:szCs w:val="20"/>
    </w:rPr>
  </w:style>
  <w:style w:type="character" w:customStyle="1" w:styleId="CommentaireCar">
    <w:name w:val="Commentaire Car"/>
    <w:basedOn w:val="Policepardfaut"/>
    <w:link w:val="Commentaire"/>
    <w:uiPriority w:val="99"/>
    <w:semiHidden/>
    <w:rsid w:val="002F0A00"/>
    <w:rPr>
      <w:sz w:val="20"/>
      <w:szCs w:val="20"/>
    </w:rPr>
  </w:style>
  <w:style w:type="paragraph" w:styleId="Objetducommentaire">
    <w:name w:val="annotation subject"/>
    <w:basedOn w:val="Commentaire"/>
    <w:next w:val="Commentaire"/>
    <w:link w:val="ObjetducommentaireCar"/>
    <w:uiPriority w:val="99"/>
    <w:semiHidden/>
    <w:unhideWhenUsed/>
    <w:rsid w:val="002F0A00"/>
    <w:rPr>
      <w:b/>
      <w:bCs/>
    </w:rPr>
  </w:style>
  <w:style w:type="character" w:customStyle="1" w:styleId="ObjetducommentaireCar">
    <w:name w:val="Objet du commentaire Car"/>
    <w:basedOn w:val="CommentaireCar"/>
    <w:link w:val="Objetducommentaire"/>
    <w:uiPriority w:val="99"/>
    <w:semiHidden/>
    <w:rsid w:val="002F0A00"/>
    <w:rPr>
      <w:b/>
      <w:bCs/>
      <w:sz w:val="20"/>
      <w:szCs w:val="20"/>
    </w:rPr>
  </w:style>
  <w:style w:type="paragraph" w:styleId="Paragraphedeliste">
    <w:name w:val="List Paragraph"/>
    <w:basedOn w:val="Normal"/>
    <w:uiPriority w:val="34"/>
    <w:qFormat/>
    <w:rsid w:val="00CB617F"/>
    <w:pPr>
      <w:ind w:left="720"/>
      <w:contextualSpacing/>
    </w:pPr>
  </w:style>
  <w:style w:type="character" w:styleId="Lienhypertexte">
    <w:name w:val="Hyperlink"/>
    <w:basedOn w:val="Policepardfaut"/>
    <w:uiPriority w:val="99"/>
    <w:unhideWhenUsed/>
    <w:rsid w:val="00CB617F"/>
    <w:rPr>
      <w:color w:val="0563C1" w:themeColor="hyperlink"/>
      <w:u w:val="single"/>
    </w:rPr>
  </w:style>
  <w:style w:type="paragraph" w:customStyle="1" w:styleId="Default">
    <w:name w:val="Default"/>
    <w:basedOn w:val="Normal"/>
    <w:rsid w:val="00FF56B0"/>
    <w:pPr>
      <w:autoSpaceDE w:val="0"/>
      <w:autoSpaceDN w:val="0"/>
      <w:spacing w:after="0" w:line="240" w:lineRule="auto"/>
    </w:pPr>
    <w:rPr>
      <w:rFonts w:ascii="Calibri"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0958">
      <w:bodyDiv w:val="1"/>
      <w:marLeft w:val="0"/>
      <w:marRight w:val="0"/>
      <w:marTop w:val="0"/>
      <w:marBottom w:val="0"/>
      <w:divBdr>
        <w:top w:val="none" w:sz="0" w:space="0" w:color="auto"/>
        <w:left w:val="none" w:sz="0" w:space="0" w:color="auto"/>
        <w:bottom w:val="none" w:sz="0" w:space="0" w:color="auto"/>
        <w:right w:val="none" w:sz="0" w:space="0" w:color="auto"/>
      </w:divBdr>
    </w:div>
    <w:div w:id="21303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rpentier@gfii.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2200</Words>
  <Characters>12100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PETEL</dc:creator>
  <cp:lastModifiedBy>Berthault, Denis (LNG-PAR)</cp:lastModifiedBy>
  <cp:revision>6</cp:revision>
  <cp:lastPrinted>2021-02-01T15:59:00Z</cp:lastPrinted>
  <dcterms:created xsi:type="dcterms:W3CDTF">2021-02-01T15:49:00Z</dcterms:created>
  <dcterms:modified xsi:type="dcterms:W3CDTF">2021-02-01T16:02:00Z</dcterms:modified>
</cp:coreProperties>
</file>